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60A" w:rsidRDefault="0047560A">
      <w:pPr>
        <w:pStyle w:val="BodyText"/>
        <w:ind w:left="0"/>
        <w:rPr>
          <w:rFonts w:ascii="Times New Roman"/>
          <w:sz w:val="20"/>
        </w:rPr>
      </w:pPr>
    </w:p>
    <w:p w:rsidR="0047560A" w:rsidRDefault="006D5F51">
      <w:pPr>
        <w:pStyle w:val="BodyText"/>
        <w:spacing w:before="9"/>
        <w:ind w:left="0"/>
        <w:rPr>
          <w:rFonts w:ascii="Times New Roman"/>
          <w:sz w:val="26"/>
        </w:rPr>
      </w:pPr>
      <w:r>
        <w:rPr>
          <w:rFonts w:ascii="Times New Roman" w:eastAsia="Times New Roman" w:hAnsi="Times New Roman" w:cs="Times New Roman"/>
          <w:noProof/>
          <w:sz w:val="24"/>
          <w:szCs w:val="24"/>
          <w:lang w:val="en-GB" w:eastAsia="en-GB"/>
        </w:rPr>
        <w:drawing>
          <wp:anchor distT="0" distB="0" distL="114300" distR="114300" simplePos="0" relativeHeight="251657216" behindDoc="0" locked="0" layoutInCell="1" allowOverlap="1" wp14:anchorId="0ECC7356" wp14:editId="54715D44">
            <wp:simplePos x="0" y="0"/>
            <wp:positionH relativeFrom="margin">
              <wp:posOffset>2540</wp:posOffset>
            </wp:positionH>
            <wp:positionV relativeFrom="paragraph">
              <wp:posOffset>13970</wp:posOffset>
            </wp:positionV>
            <wp:extent cx="2876585" cy="257513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6585" cy="2575139"/>
                    </a:xfrm>
                    <a:prstGeom prst="rect">
                      <a:avLst/>
                    </a:prstGeom>
                  </pic:spPr>
                </pic:pic>
              </a:graphicData>
            </a:graphic>
            <wp14:sizeRelH relativeFrom="margin">
              <wp14:pctWidth>0</wp14:pctWidth>
            </wp14:sizeRelH>
            <wp14:sizeRelV relativeFrom="margin">
              <wp14:pctHeight>0</wp14:pctHeight>
            </wp14:sizeRelV>
          </wp:anchor>
        </w:drawing>
      </w:r>
    </w:p>
    <w:p w:rsidR="006D5F51" w:rsidRDefault="006D5F51">
      <w:pPr>
        <w:spacing w:before="91"/>
        <w:ind w:left="1841" w:right="2145"/>
        <w:jc w:val="center"/>
        <w:rPr>
          <w:b/>
          <w:sz w:val="32"/>
        </w:rPr>
      </w:pPr>
    </w:p>
    <w:p w:rsidR="006D5F51" w:rsidRDefault="006D5F51">
      <w:pPr>
        <w:spacing w:before="91"/>
        <w:ind w:left="1841" w:right="2145"/>
        <w:jc w:val="center"/>
        <w:rPr>
          <w:b/>
          <w:sz w:val="32"/>
        </w:rPr>
      </w:pPr>
      <w:r>
        <w:rPr>
          <w:noProof/>
          <w:lang w:val="en-GB" w:eastAsia="en-GB"/>
        </w:rPr>
        <w:drawing>
          <wp:anchor distT="0" distB="0" distL="0" distR="0" simplePos="0" relativeHeight="251660288" behindDoc="0" locked="0" layoutInCell="1" allowOverlap="1" wp14:anchorId="29F0A88D" wp14:editId="107EEC49">
            <wp:simplePos x="0" y="0"/>
            <wp:positionH relativeFrom="page">
              <wp:posOffset>4183380</wp:posOffset>
            </wp:positionH>
            <wp:positionV relativeFrom="page">
              <wp:posOffset>2228215</wp:posOffset>
            </wp:positionV>
            <wp:extent cx="2796540" cy="1199978"/>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796540" cy="1199978"/>
                    </a:xfrm>
                    <a:prstGeom prst="rect">
                      <a:avLst/>
                    </a:prstGeom>
                  </pic:spPr>
                </pic:pic>
              </a:graphicData>
            </a:graphic>
            <wp14:sizeRelH relativeFrom="margin">
              <wp14:pctWidth>0</wp14:pctWidth>
            </wp14:sizeRelH>
            <wp14:sizeRelV relativeFrom="margin">
              <wp14:pctHeight>0</wp14:pctHeight>
            </wp14:sizeRelV>
          </wp:anchor>
        </w:drawing>
      </w:r>
    </w:p>
    <w:p w:rsidR="006D5F51" w:rsidRDefault="006D5F51">
      <w:pPr>
        <w:spacing w:before="91"/>
        <w:ind w:left="1841" w:right="2145"/>
        <w:jc w:val="center"/>
        <w:rPr>
          <w:b/>
          <w:sz w:val="32"/>
        </w:rPr>
      </w:pPr>
    </w:p>
    <w:p w:rsidR="006D5F51" w:rsidRDefault="006D5F51">
      <w:pPr>
        <w:spacing w:before="91"/>
        <w:ind w:left="1841" w:right="2145"/>
        <w:jc w:val="center"/>
        <w:rPr>
          <w:b/>
          <w:sz w:val="32"/>
        </w:rPr>
      </w:pPr>
    </w:p>
    <w:p w:rsidR="006D5F51" w:rsidRDefault="006D5F51">
      <w:pPr>
        <w:spacing w:before="91"/>
        <w:ind w:left="1841" w:right="2145"/>
        <w:jc w:val="center"/>
        <w:rPr>
          <w:b/>
          <w:sz w:val="32"/>
        </w:rPr>
      </w:pPr>
    </w:p>
    <w:p w:rsidR="006D5F51" w:rsidRDefault="006D5F51">
      <w:pPr>
        <w:spacing w:before="91"/>
        <w:ind w:left="1841" w:right="2145"/>
        <w:jc w:val="center"/>
        <w:rPr>
          <w:b/>
          <w:sz w:val="32"/>
        </w:rPr>
      </w:pPr>
    </w:p>
    <w:p w:rsidR="006D5F51" w:rsidRDefault="006D5F51">
      <w:pPr>
        <w:spacing w:before="91"/>
        <w:ind w:left="1841" w:right="2145"/>
        <w:jc w:val="center"/>
        <w:rPr>
          <w:b/>
          <w:sz w:val="32"/>
        </w:rPr>
      </w:pPr>
    </w:p>
    <w:p w:rsidR="006D5F51" w:rsidRDefault="006D5F51">
      <w:pPr>
        <w:spacing w:before="91"/>
        <w:ind w:left="1841" w:right="2145"/>
        <w:jc w:val="center"/>
        <w:rPr>
          <w:b/>
          <w:sz w:val="32"/>
        </w:rPr>
      </w:pPr>
    </w:p>
    <w:p w:rsidR="006D5F51" w:rsidRDefault="006D5F51">
      <w:pPr>
        <w:spacing w:before="91"/>
        <w:ind w:left="1841" w:right="2145"/>
        <w:jc w:val="center"/>
        <w:rPr>
          <w:b/>
          <w:sz w:val="32"/>
        </w:rPr>
      </w:pPr>
    </w:p>
    <w:p w:rsidR="006D5F51" w:rsidRDefault="006D5F51">
      <w:pPr>
        <w:spacing w:before="91"/>
        <w:ind w:left="1841" w:right="2145"/>
        <w:jc w:val="center"/>
        <w:rPr>
          <w:b/>
          <w:sz w:val="32"/>
        </w:rPr>
      </w:pPr>
    </w:p>
    <w:p w:rsidR="0047560A" w:rsidRPr="006D5F51" w:rsidRDefault="006D5F51">
      <w:pPr>
        <w:spacing w:before="91"/>
        <w:ind w:left="1841" w:right="2145"/>
        <w:jc w:val="center"/>
        <w:rPr>
          <w:rFonts w:ascii="Arial Narrow" w:hAnsi="Arial Narrow"/>
          <w:b/>
          <w:sz w:val="56"/>
          <w:szCs w:val="56"/>
        </w:rPr>
      </w:pPr>
      <w:r>
        <w:rPr>
          <w:rFonts w:ascii="Arial Narrow" w:hAnsi="Arial Narrow"/>
          <w:b/>
          <w:sz w:val="56"/>
          <w:szCs w:val="56"/>
        </w:rPr>
        <w:t>SEX AND RELATIONSHIP EDUCATION TRUST POLICY</w:t>
      </w:r>
    </w:p>
    <w:p w:rsidR="0047560A" w:rsidRDefault="0047560A">
      <w:pPr>
        <w:pStyle w:val="BodyText"/>
        <w:ind w:left="0"/>
        <w:rPr>
          <w:b/>
          <w:sz w:val="20"/>
        </w:rPr>
      </w:pPr>
    </w:p>
    <w:p w:rsidR="0047560A" w:rsidRDefault="0047560A">
      <w:pPr>
        <w:pStyle w:val="BodyText"/>
        <w:ind w:left="0"/>
        <w:rPr>
          <w:b/>
          <w:sz w:val="20"/>
        </w:rPr>
      </w:pPr>
    </w:p>
    <w:p w:rsidR="0047560A" w:rsidRDefault="0047560A">
      <w:pPr>
        <w:pStyle w:val="BodyText"/>
        <w:spacing w:before="10"/>
        <w:ind w:left="0"/>
        <w:rPr>
          <w:b/>
          <w:sz w:val="10"/>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6"/>
        <w:gridCol w:w="6557"/>
      </w:tblGrid>
      <w:tr w:rsidR="0047560A" w:rsidTr="006D5F51">
        <w:trPr>
          <w:trHeight w:val="629"/>
        </w:trPr>
        <w:tc>
          <w:tcPr>
            <w:tcW w:w="2976" w:type="dxa"/>
          </w:tcPr>
          <w:p w:rsidR="0047560A" w:rsidRDefault="004D6965">
            <w:pPr>
              <w:pStyle w:val="TableParagraph"/>
              <w:ind w:left="110"/>
            </w:pPr>
            <w:r>
              <w:t>Name of Policy</w:t>
            </w:r>
          </w:p>
        </w:tc>
        <w:tc>
          <w:tcPr>
            <w:tcW w:w="6557" w:type="dxa"/>
          </w:tcPr>
          <w:p w:rsidR="0047560A" w:rsidRDefault="004D6965">
            <w:pPr>
              <w:pStyle w:val="TableParagraph"/>
            </w:pPr>
            <w:r>
              <w:t>Sex and relationship education policy</w:t>
            </w:r>
          </w:p>
        </w:tc>
      </w:tr>
      <w:tr w:rsidR="0047560A" w:rsidTr="006D5F51">
        <w:trPr>
          <w:trHeight w:val="553"/>
        </w:trPr>
        <w:tc>
          <w:tcPr>
            <w:tcW w:w="2976" w:type="dxa"/>
          </w:tcPr>
          <w:p w:rsidR="0047560A" w:rsidRDefault="004D6965">
            <w:pPr>
              <w:pStyle w:val="TableParagraph"/>
              <w:ind w:left="110"/>
            </w:pPr>
            <w:r>
              <w:t>Policy Level</w:t>
            </w:r>
          </w:p>
        </w:tc>
        <w:tc>
          <w:tcPr>
            <w:tcW w:w="6557" w:type="dxa"/>
          </w:tcPr>
          <w:p w:rsidR="0047560A" w:rsidRDefault="004D6965">
            <w:pPr>
              <w:pStyle w:val="TableParagraph"/>
            </w:pPr>
            <w:r>
              <w:t>Trust</w:t>
            </w:r>
          </w:p>
        </w:tc>
      </w:tr>
      <w:tr w:rsidR="0047560A" w:rsidTr="006D5F51">
        <w:trPr>
          <w:trHeight w:val="561"/>
        </w:trPr>
        <w:tc>
          <w:tcPr>
            <w:tcW w:w="2976" w:type="dxa"/>
          </w:tcPr>
          <w:p w:rsidR="0047560A" w:rsidRDefault="004D6965">
            <w:pPr>
              <w:pStyle w:val="TableParagraph"/>
              <w:ind w:left="110"/>
            </w:pPr>
            <w:r>
              <w:t>Date of Issue</w:t>
            </w:r>
          </w:p>
        </w:tc>
        <w:tc>
          <w:tcPr>
            <w:tcW w:w="6557" w:type="dxa"/>
          </w:tcPr>
          <w:p w:rsidR="0047560A" w:rsidRDefault="004D6965">
            <w:pPr>
              <w:pStyle w:val="TableParagraph"/>
            </w:pPr>
            <w:r>
              <w:t>July 2018</w:t>
            </w:r>
          </w:p>
        </w:tc>
      </w:tr>
      <w:tr w:rsidR="0047560A" w:rsidTr="006D5F51">
        <w:trPr>
          <w:trHeight w:val="555"/>
        </w:trPr>
        <w:tc>
          <w:tcPr>
            <w:tcW w:w="2976" w:type="dxa"/>
          </w:tcPr>
          <w:p w:rsidR="0047560A" w:rsidRDefault="004D6965">
            <w:pPr>
              <w:pStyle w:val="TableParagraph"/>
              <w:ind w:left="110"/>
            </w:pPr>
            <w:r>
              <w:t>Author</w:t>
            </w:r>
          </w:p>
        </w:tc>
        <w:tc>
          <w:tcPr>
            <w:tcW w:w="6557" w:type="dxa"/>
          </w:tcPr>
          <w:p w:rsidR="0047560A" w:rsidRDefault="004D6965">
            <w:pPr>
              <w:pStyle w:val="TableParagraph"/>
            </w:pPr>
            <w:r>
              <w:t>Board of Trustees</w:t>
            </w:r>
          </w:p>
        </w:tc>
      </w:tr>
      <w:tr w:rsidR="0047560A" w:rsidTr="006D5F51">
        <w:trPr>
          <w:trHeight w:val="690"/>
        </w:trPr>
        <w:tc>
          <w:tcPr>
            <w:tcW w:w="2976" w:type="dxa"/>
          </w:tcPr>
          <w:p w:rsidR="0047560A" w:rsidRDefault="004D6965">
            <w:pPr>
              <w:pStyle w:val="TableParagraph"/>
              <w:ind w:left="110"/>
            </w:pPr>
            <w:r>
              <w:t>Date of Next Review</w:t>
            </w:r>
          </w:p>
        </w:tc>
        <w:tc>
          <w:tcPr>
            <w:tcW w:w="6557" w:type="dxa"/>
          </w:tcPr>
          <w:p w:rsidR="0047560A" w:rsidRDefault="004D6965">
            <w:pPr>
              <w:pStyle w:val="TableParagraph"/>
            </w:pPr>
            <w:r>
              <w:t>January 2020</w:t>
            </w:r>
          </w:p>
        </w:tc>
      </w:tr>
      <w:tr w:rsidR="0047560A" w:rsidTr="006D5F51">
        <w:trPr>
          <w:trHeight w:val="572"/>
        </w:trPr>
        <w:tc>
          <w:tcPr>
            <w:tcW w:w="2976" w:type="dxa"/>
          </w:tcPr>
          <w:p w:rsidR="0047560A" w:rsidRDefault="004D6965">
            <w:pPr>
              <w:pStyle w:val="TableParagraph"/>
              <w:ind w:left="110"/>
            </w:pPr>
            <w:r>
              <w:t>Signature</w:t>
            </w:r>
          </w:p>
        </w:tc>
        <w:tc>
          <w:tcPr>
            <w:tcW w:w="6557" w:type="dxa"/>
          </w:tcPr>
          <w:p w:rsidR="0047560A" w:rsidRDefault="004D6965">
            <w:pPr>
              <w:pStyle w:val="TableParagraph"/>
            </w:pPr>
            <w:proofErr w:type="spellStart"/>
            <w:r>
              <w:t>Dr</w:t>
            </w:r>
            <w:proofErr w:type="spellEnd"/>
            <w:r>
              <w:t xml:space="preserve"> Jonty Clark</w:t>
            </w:r>
          </w:p>
        </w:tc>
      </w:tr>
      <w:tr w:rsidR="0047560A" w:rsidTr="006D5F51">
        <w:trPr>
          <w:trHeight w:val="680"/>
        </w:trPr>
        <w:tc>
          <w:tcPr>
            <w:tcW w:w="2976" w:type="dxa"/>
          </w:tcPr>
          <w:p w:rsidR="0047560A" w:rsidRDefault="004D6965">
            <w:pPr>
              <w:pStyle w:val="TableParagraph"/>
              <w:ind w:left="110"/>
            </w:pPr>
            <w:r>
              <w:t>Date of Signature</w:t>
            </w:r>
          </w:p>
        </w:tc>
        <w:tc>
          <w:tcPr>
            <w:tcW w:w="6557" w:type="dxa"/>
          </w:tcPr>
          <w:p w:rsidR="0047560A" w:rsidRDefault="004D6965">
            <w:pPr>
              <w:pStyle w:val="TableParagraph"/>
            </w:pPr>
            <w:r>
              <w:t>September 2018</w:t>
            </w:r>
          </w:p>
        </w:tc>
      </w:tr>
    </w:tbl>
    <w:p w:rsidR="0047560A" w:rsidRDefault="0047560A">
      <w:pPr>
        <w:sectPr w:rsidR="0047560A">
          <w:headerReference w:type="default" r:id="rId9"/>
          <w:type w:val="continuous"/>
          <w:pgSz w:w="11910" w:h="16840"/>
          <w:pgMar w:top="2400" w:right="920" w:bottom="280" w:left="1220" w:header="805" w:footer="720" w:gutter="0"/>
          <w:cols w:space="720"/>
        </w:sectPr>
      </w:pPr>
    </w:p>
    <w:p w:rsidR="0047560A" w:rsidRDefault="0047560A">
      <w:pPr>
        <w:pStyle w:val="BodyText"/>
        <w:ind w:left="0"/>
        <w:rPr>
          <w:b/>
          <w:sz w:val="20"/>
        </w:rPr>
      </w:pPr>
    </w:p>
    <w:p w:rsidR="0047560A" w:rsidRDefault="0047560A">
      <w:pPr>
        <w:pStyle w:val="BodyText"/>
        <w:ind w:left="0"/>
        <w:rPr>
          <w:b/>
          <w:sz w:val="20"/>
        </w:rPr>
      </w:pPr>
    </w:p>
    <w:p w:rsidR="0047560A" w:rsidRDefault="0047560A">
      <w:pPr>
        <w:pStyle w:val="BodyText"/>
        <w:spacing w:before="7"/>
        <w:ind w:left="0"/>
        <w:rPr>
          <w:b/>
        </w:rPr>
      </w:pPr>
    </w:p>
    <w:p w:rsidR="0047560A" w:rsidRDefault="004D6965">
      <w:pPr>
        <w:spacing w:before="92"/>
        <w:ind w:left="1840" w:right="2145"/>
        <w:jc w:val="center"/>
        <w:rPr>
          <w:b/>
          <w:sz w:val="32"/>
        </w:rPr>
      </w:pPr>
      <w:r>
        <w:rPr>
          <w:b/>
          <w:sz w:val="32"/>
        </w:rPr>
        <w:t>Table of Contents</w:t>
      </w:r>
    </w:p>
    <w:sdt>
      <w:sdtPr>
        <w:rPr>
          <w:rFonts w:ascii="Arial" w:eastAsia="Arial" w:hAnsi="Arial" w:cs="Arial"/>
          <w:b w:val="0"/>
          <w:bCs w:val="0"/>
          <w:i w:val="0"/>
          <w:sz w:val="22"/>
          <w:szCs w:val="22"/>
        </w:rPr>
        <w:id w:val="1409811528"/>
        <w:docPartObj>
          <w:docPartGallery w:val="Table of Contents"/>
          <w:docPartUnique/>
        </w:docPartObj>
      </w:sdtPr>
      <w:sdtEndPr/>
      <w:sdtContent>
        <w:p w:rsidR="0047560A" w:rsidRDefault="004D6965">
          <w:pPr>
            <w:pStyle w:val="TOC1"/>
            <w:numPr>
              <w:ilvl w:val="0"/>
              <w:numId w:val="5"/>
            </w:numPr>
            <w:tabs>
              <w:tab w:val="left" w:pos="458"/>
              <w:tab w:val="right" w:leader="dot" w:pos="9227"/>
            </w:tabs>
            <w:spacing w:before="121"/>
            <w:ind w:hanging="241"/>
          </w:pPr>
          <w:r>
            <w:fldChar w:fldCharType="begin"/>
          </w:r>
          <w:r>
            <w:instrText xml:space="preserve">TOC \o "1-1" \h \z \u </w:instrText>
          </w:r>
          <w:r>
            <w:fldChar w:fldCharType="separate"/>
          </w:r>
          <w:hyperlink w:anchor="_TOC_250008" w:history="1">
            <w:r>
              <w:t>Aims</w:t>
            </w:r>
            <w:r>
              <w:tab/>
              <w:t>3</w:t>
            </w:r>
          </w:hyperlink>
        </w:p>
        <w:p w:rsidR="0047560A" w:rsidRDefault="00AE0D91">
          <w:pPr>
            <w:pStyle w:val="TOC1"/>
            <w:numPr>
              <w:ilvl w:val="0"/>
              <w:numId w:val="5"/>
            </w:numPr>
            <w:tabs>
              <w:tab w:val="left" w:pos="458"/>
              <w:tab w:val="right" w:leader="dot" w:pos="9227"/>
            </w:tabs>
            <w:ind w:hanging="241"/>
          </w:pPr>
          <w:hyperlink w:anchor="_TOC_250007" w:history="1">
            <w:r w:rsidR="004D6965">
              <w:t>Statutory</w:t>
            </w:r>
            <w:r w:rsidR="004D6965">
              <w:rPr>
                <w:spacing w:val="-2"/>
              </w:rPr>
              <w:t xml:space="preserve"> </w:t>
            </w:r>
            <w:r w:rsidR="004D6965">
              <w:t>requirements</w:t>
            </w:r>
            <w:r w:rsidR="004D6965">
              <w:tab/>
              <w:t>3</w:t>
            </w:r>
          </w:hyperlink>
        </w:p>
        <w:p w:rsidR="0047560A" w:rsidRDefault="00AE0D91">
          <w:pPr>
            <w:pStyle w:val="TOC1"/>
            <w:numPr>
              <w:ilvl w:val="0"/>
              <w:numId w:val="5"/>
            </w:numPr>
            <w:tabs>
              <w:tab w:val="left" w:pos="458"/>
              <w:tab w:val="right" w:leader="dot" w:pos="9227"/>
            </w:tabs>
            <w:spacing w:before="124"/>
            <w:ind w:hanging="241"/>
          </w:pPr>
          <w:hyperlink w:anchor="_TOC_250006" w:history="1">
            <w:r w:rsidR="004D6965">
              <w:t>Policy</w:t>
            </w:r>
            <w:r w:rsidR="004D6965">
              <w:rPr>
                <w:spacing w:val="-1"/>
              </w:rPr>
              <w:t xml:space="preserve"> </w:t>
            </w:r>
            <w:r w:rsidR="004D6965">
              <w:t>development</w:t>
            </w:r>
            <w:r w:rsidR="004D6965">
              <w:tab/>
              <w:t>3</w:t>
            </w:r>
          </w:hyperlink>
        </w:p>
        <w:p w:rsidR="0047560A" w:rsidRDefault="00AE0D91">
          <w:pPr>
            <w:pStyle w:val="TOC1"/>
            <w:numPr>
              <w:ilvl w:val="0"/>
              <w:numId w:val="5"/>
            </w:numPr>
            <w:tabs>
              <w:tab w:val="left" w:pos="458"/>
              <w:tab w:val="right" w:leader="dot" w:pos="9227"/>
            </w:tabs>
            <w:ind w:hanging="241"/>
          </w:pPr>
          <w:hyperlink w:anchor="_TOC_250005" w:history="1">
            <w:r w:rsidR="004D6965">
              <w:t>Definition</w:t>
            </w:r>
            <w:r w:rsidR="004D6965">
              <w:tab/>
              <w:t>4</w:t>
            </w:r>
          </w:hyperlink>
        </w:p>
        <w:p w:rsidR="0047560A" w:rsidRDefault="00AE0D91">
          <w:pPr>
            <w:pStyle w:val="TOC1"/>
            <w:numPr>
              <w:ilvl w:val="0"/>
              <w:numId w:val="5"/>
            </w:numPr>
            <w:tabs>
              <w:tab w:val="left" w:pos="458"/>
              <w:tab w:val="right" w:leader="dot" w:pos="9227"/>
            </w:tabs>
            <w:ind w:hanging="241"/>
          </w:pPr>
          <w:hyperlink w:anchor="_TOC_250004" w:history="1">
            <w:r w:rsidR="004D6965">
              <w:t>Delivery of</w:t>
            </w:r>
            <w:r w:rsidR="004D6965">
              <w:rPr>
                <w:spacing w:val="-1"/>
              </w:rPr>
              <w:t xml:space="preserve"> </w:t>
            </w:r>
            <w:r w:rsidR="004D6965">
              <w:t>SRE</w:t>
            </w:r>
            <w:r w:rsidR="004D6965">
              <w:tab/>
              <w:t>4</w:t>
            </w:r>
          </w:hyperlink>
        </w:p>
        <w:p w:rsidR="0047560A" w:rsidRDefault="00AE0D91">
          <w:pPr>
            <w:pStyle w:val="TOC1"/>
            <w:numPr>
              <w:ilvl w:val="0"/>
              <w:numId w:val="5"/>
            </w:numPr>
            <w:tabs>
              <w:tab w:val="left" w:pos="458"/>
              <w:tab w:val="right" w:leader="dot" w:pos="9227"/>
            </w:tabs>
            <w:ind w:hanging="241"/>
          </w:pPr>
          <w:hyperlink w:anchor="_TOC_250003" w:history="1">
            <w:r w:rsidR="004D6965">
              <w:t>Roles</w:t>
            </w:r>
            <w:r w:rsidR="004D6965">
              <w:rPr>
                <w:spacing w:val="-2"/>
              </w:rPr>
              <w:t xml:space="preserve"> </w:t>
            </w:r>
            <w:r w:rsidR="004D6965">
              <w:t>and responsibilities</w:t>
            </w:r>
            <w:r w:rsidR="004D6965">
              <w:tab/>
              <w:t>4</w:t>
            </w:r>
          </w:hyperlink>
        </w:p>
        <w:p w:rsidR="0047560A" w:rsidRDefault="00AE0D91">
          <w:pPr>
            <w:pStyle w:val="TOC1"/>
            <w:numPr>
              <w:ilvl w:val="0"/>
              <w:numId w:val="5"/>
            </w:numPr>
            <w:tabs>
              <w:tab w:val="left" w:pos="458"/>
              <w:tab w:val="right" w:leader="dot" w:pos="9227"/>
            </w:tabs>
            <w:ind w:hanging="241"/>
          </w:pPr>
          <w:hyperlink w:anchor="_TOC_250002" w:history="1">
            <w:r w:rsidR="004D6965">
              <w:t>Parents/carers’ right</w:t>
            </w:r>
            <w:r w:rsidR="004D6965">
              <w:rPr>
                <w:spacing w:val="-2"/>
              </w:rPr>
              <w:t xml:space="preserve"> </w:t>
            </w:r>
            <w:r w:rsidR="004D6965">
              <w:t>to withdraw</w:t>
            </w:r>
            <w:r w:rsidR="004D6965">
              <w:tab/>
              <w:t>5</w:t>
            </w:r>
          </w:hyperlink>
        </w:p>
        <w:p w:rsidR="0047560A" w:rsidRDefault="00AE0D91">
          <w:pPr>
            <w:pStyle w:val="TOC1"/>
            <w:numPr>
              <w:ilvl w:val="0"/>
              <w:numId w:val="5"/>
            </w:numPr>
            <w:tabs>
              <w:tab w:val="left" w:pos="458"/>
              <w:tab w:val="right" w:leader="dot" w:pos="9227"/>
            </w:tabs>
            <w:spacing w:before="119"/>
            <w:ind w:hanging="241"/>
          </w:pPr>
          <w:hyperlink w:anchor="_TOC_250001" w:history="1">
            <w:r w:rsidR="004D6965">
              <w:t>Training</w:t>
            </w:r>
            <w:r w:rsidR="004D6965">
              <w:tab/>
              <w:t>5</w:t>
            </w:r>
          </w:hyperlink>
        </w:p>
        <w:p w:rsidR="0047560A" w:rsidRDefault="00AE0D91">
          <w:pPr>
            <w:pStyle w:val="TOC1"/>
            <w:numPr>
              <w:ilvl w:val="0"/>
              <w:numId w:val="5"/>
            </w:numPr>
            <w:tabs>
              <w:tab w:val="left" w:pos="458"/>
              <w:tab w:val="right" w:leader="dot" w:pos="9227"/>
            </w:tabs>
            <w:ind w:hanging="241"/>
          </w:pPr>
          <w:hyperlink w:anchor="_TOC_250000" w:history="1">
            <w:r w:rsidR="004D6965">
              <w:t>Monitoring</w:t>
            </w:r>
            <w:r w:rsidR="004D6965">
              <w:rPr>
                <w:spacing w:val="-1"/>
              </w:rPr>
              <w:t xml:space="preserve"> </w:t>
            </w:r>
            <w:r w:rsidR="004D6965">
              <w:t>arrangements</w:t>
            </w:r>
            <w:r w:rsidR="004D6965">
              <w:tab/>
              <w:t>5</w:t>
            </w:r>
          </w:hyperlink>
        </w:p>
        <w:p w:rsidR="0047560A" w:rsidRDefault="004D6965">
          <w:r>
            <w:fldChar w:fldCharType="end"/>
          </w:r>
        </w:p>
      </w:sdtContent>
    </w:sdt>
    <w:p w:rsidR="0047560A" w:rsidRDefault="0047560A">
      <w:pPr>
        <w:sectPr w:rsidR="0047560A">
          <w:headerReference w:type="default" r:id="rId10"/>
          <w:footerReference w:type="default" r:id="rId11"/>
          <w:pgSz w:w="11910" w:h="16840"/>
          <w:pgMar w:top="2400" w:right="920" w:bottom="1640" w:left="1220" w:header="805" w:footer="1456" w:gutter="0"/>
          <w:pgNumType w:start="2"/>
          <w:cols w:space="720"/>
        </w:sectPr>
      </w:pPr>
    </w:p>
    <w:p w:rsidR="0047560A" w:rsidRDefault="004D6965">
      <w:pPr>
        <w:pStyle w:val="Heading1"/>
        <w:numPr>
          <w:ilvl w:val="0"/>
          <w:numId w:val="4"/>
        </w:numPr>
        <w:tabs>
          <w:tab w:val="left" w:pos="530"/>
        </w:tabs>
        <w:spacing w:before="254"/>
        <w:ind w:hanging="313"/>
      </w:pPr>
      <w:bookmarkStart w:id="0" w:name="_TOC_250008"/>
      <w:bookmarkEnd w:id="0"/>
      <w:r>
        <w:lastRenderedPageBreak/>
        <w:t>Aims</w:t>
      </w:r>
    </w:p>
    <w:p w:rsidR="0047560A" w:rsidRDefault="004D6965">
      <w:pPr>
        <w:pStyle w:val="BodyText"/>
        <w:spacing w:before="118"/>
      </w:pPr>
      <w:r>
        <w:t>The aims of sex and relationship education (SRE) at our school are to:</w:t>
      </w:r>
    </w:p>
    <w:p w:rsidR="0047560A" w:rsidRDefault="004D6965">
      <w:pPr>
        <w:pStyle w:val="ListParagraph"/>
        <w:numPr>
          <w:ilvl w:val="1"/>
          <w:numId w:val="4"/>
        </w:numPr>
        <w:tabs>
          <w:tab w:val="left" w:pos="937"/>
          <w:tab w:val="left" w:pos="938"/>
        </w:tabs>
        <w:spacing w:before="116" w:line="269" w:lineRule="exact"/>
        <w:ind w:hanging="361"/>
      </w:pPr>
      <w:r>
        <w:t>Provide a framework in which sensitive discussions can take</w:t>
      </w:r>
      <w:r>
        <w:rPr>
          <w:spacing w:val="-14"/>
        </w:rPr>
        <w:t xml:space="preserve"> </w:t>
      </w:r>
      <w:r>
        <w:t>place</w:t>
      </w:r>
    </w:p>
    <w:p w:rsidR="0047560A" w:rsidRDefault="004D6965">
      <w:pPr>
        <w:pStyle w:val="ListParagraph"/>
        <w:numPr>
          <w:ilvl w:val="1"/>
          <w:numId w:val="4"/>
        </w:numPr>
        <w:tabs>
          <w:tab w:val="left" w:pos="937"/>
          <w:tab w:val="left" w:pos="938"/>
        </w:tabs>
        <w:ind w:right="864"/>
      </w:pPr>
      <w:r>
        <w:t>Where appropriate, prepare pupils for puberty, and give them an understanding of sexual development and the importance of health and</w:t>
      </w:r>
      <w:r>
        <w:rPr>
          <w:spacing w:val="-13"/>
        </w:rPr>
        <w:t xml:space="preserve"> </w:t>
      </w:r>
      <w:r>
        <w:t>hygiene</w:t>
      </w:r>
    </w:p>
    <w:p w:rsidR="0047560A" w:rsidRDefault="004D6965">
      <w:pPr>
        <w:pStyle w:val="ListParagraph"/>
        <w:numPr>
          <w:ilvl w:val="1"/>
          <w:numId w:val="4"/>
        </w:numPr>
        <w:tabs>
          <w:tab w:val="left" w:pos="937"/>
          <w:tab w:val="left" w:pos="938"/>
        </w:tabs>
        <w:spacing w:before="1" w:line="267" w:lineRule="exact"/>
        <w:ind w:hanging="361"/>
      </w:pPr>
      <w:r>
        <w:t>Help pupils develop feelings of self-respect, confidence and</w:t>
      </w:r>
      <w:r>
        <w:rPr>
          <w:spacing w:val="-38"/>
        </w:rPr>
        <w:t xml:space="preserve"> </w:t>
      </w:r>
      <w:r>
        <w:t>empathy</w:t>
      </w:r>
    </w:p>
    <w:p w:rsidR="0047560A" w:rsidRDefault="004D6965">
      <w:pPr>
        <w:pStyle w:val="ListParagraph"/>
        <w:numPr>
          <w:ilvl w:val="1"/>
          <w:numId w:val="4"/>
        </w:numPr>
        <w:tabs>
          <w:tab w:val="left" w:pos="937"/>
          <w:tab w:val="left" w:pos="938"/>
        </w:tabs>
        <w:spacing w:line="266" w:lineRule="exact"/>
        <w:ind w:hanging="361"/>
      </w:pPr>
      <w:r>
        <w:t>Create a positive culture around issues of sexuality and</w:t>
      </w:r>
      <w:r>
        <w:rPr>
          <w:spacing w:val="-38"/>
        </w:rPr>
        <w:t xml:space="preserve"> </w:t>
      </w:r>
      <w:r>
        <w:t>relationships</w:t>
      </w:r>
    </w:p>
    <w:p w:rsidR="0047560A" w:rsidRDefault="004D6965">
      <w:pPr>
        <w:pStyle w:val="ListParagraph"/>
        <w:numPr>
          <w:ilvl w:val="1"/>
          <w:numId w:val="4"/>
        </w:numPr>
        <w:tabs>
          <w:tab w:val="left" w:pos="937"/>
          <w:tab w:val="left" w:pos="938"/>
        </w:tabs>
        <w:spacing w:line="269" w:lineRule="exact"/>
        <w:ind w:hanging="361"/>
      </w:pPr>
      <w:r>
        <w:t>Teach pupils the correct vocabulary to describe themselves and their</w:t>
      </w:r>
      <w:r>
        <w:rPr>
          <w:spacing w:val="-21"/>
        </w:rPr>
        <w:t xml:space="preserve"> </w:t>
      </w:r>
      <w:r>
        <w:t>bodies.</w:t>
      </w:r>
    </w:p>
    <w:p w:rsidR="0047560A" w:rsidRDefault="0047560A">
      <w:pPr>
        <w:pStyle w:val="BodyText"/>
        <w:spacing w:before="6"/>
        <w:ind w:left="0"/>
        <w:rPr>
          <w:sz w:val="32"/>
        </w:rPr>
      </w:pPr>
    </w:p>
    <w:p w:rsidR="0047560A" w:rsidRDefault="004D6965">
      <w:pPr>
        <w:pStyle w:val="BodyText"/>
        <w:ind w:right="861"/>
      </w:pPr>
      <w:r>
        <w:t xml:space="preserve">SRE will always take full account of the ethos and values of the schools in the trust. In particular, SRE will take full account of our approach to teaching and learning which is focused on meeting individual pupils’ needs, given that our pupils have a range of special educational needs and disabilities and will present challenging </w:t>
      </w:r>
      <w:proofErr w:type="spellStart"/>
      <w:r>
        <w:t>behaviours</w:t>
      </w:r>
      <w:proofErr w:type="spellEnd"/>
      <w:r>
        <w:t>.</w:t>
      </w:r>
    </w:p>
    <w:p w:rsidR="0047560A" w:rsidRDefault="0047560A">
      <w:pPr>
        <w:pStyle w:val="BodyText"/>
        <w:ind w:left="0"/>
        <w:rPr>
          <w:sz w:val="24"/>
        </w:rPr>
      </w:pPr>
    </w:p>
    <w:p w:rsidR="001B672A" w:rsidRDefault="004D6965" w:rsidP="001B672A">
      <w:pPr>
        <w:pStyle w:val="Heading1"/>
        <w:numPr>
          <w:ilvl w:val="0"/>
          <w:numId w:val="4"/>
        </w:numPr>
        <w:tabs>
          <w:tab w:val="left" w:pos="530"/>
        </w:tabs>
        <w:spacing w:before="216"/>
        <w:ind w:hanging="313"/>
      </w:pPr>
      <w:bookmarkStart w:id="1" w:name="_TOC_250007"/>
      <w:r>
        <w:t>Statutory</w:t>
      </w:r>
      <w:r>
        <w:rPr>
          <w:spacing w:val="-1"/>
        </w:rPr>
        <w:t xml:space="preserve"> </w:t>
      </w:r>
      <w:bookmarkEnd w:id="1"/>
      <w:r>
        <w:t>requirements</w:t>
      </w:r>
    </w:p>
    <w:p w:rsidR="001B672A" w:rsidRDefault="001B672A">
      <w:pPr>
        <w:pStyle w:val="BodyText"/>
        <w:ind w:left="0"/>
      </w:pPr>
    </w:p>
    <w:p w:rsidR="0047560A" w:rsidRPr="001B672A" w:rsidRDefault="001B672A" w:rsidP="001B672A">
      <w:pPr>
        <w:pStyle w:val="BodyText"/>
        <w:ind w:right="861"/>
      </w:pPr>
      <w:r>
        <w:t>The Relationships Education, Relationships and Sex Education and Health Education (England) Regulations 2019, made under sections 34 and 35 of the Children and Social Work Act 2017, make Relationships Education compulsory for all pupils receiving primary education and Relationships and Sex Education (RSE) compulsory for all pupils receiving secondary education.</w:t>
      </w:r>
    </w:p>
    <w:p w:rsidR="0047560A" w:rsidRDefault="0047560A">
      <w:pPr>
        <w:pStyle w:val="BodyText"/>
        <w:spacing w:before="9"/>
        <w:ind w:left="0"/>
        <w:rPr>
          <w:sz w:val="18"/>
        </w:rPr>
      </w:pPr>
    </w:p>
    <w:p w:rsidR="0047560A" w:rsidRDefault="004D6965">
      <w:pPr>
        <w:pStyle w:val="Heading1"/>
        <w:numPr>
          <w:ilvl w:val="0"/>
          <w:numId w:val="4"/>
        </w:numPr>
        <w:tabs>
          <w:tab w:val="left" w:pos="530"/>
        </w:tabs>
        <w:spacing w:before="1"/>
        <w:ind w:hanging="313"/>
      </w:pPr>
      <w:bookmarkStart w:id="2" w:name="_TOC_250006"/>
      <w:r>
        <w:t>Policy</w:t>
      </w:r>
      <w:r>
        <w:rPr>
          <w:spacing w:val="-1"/>
        </w:rPr>
        <w:t xml:space="preserve"> </w:t>
      </w:r>
      <w:bookmarkEnd w:id="2"/>
      <w:r>
        <w:t>development</w:t>
      </w:r>
    </w:p>
    <w:p w:rsidR="0047560A" w:rsidRDefault="004D6965">
      <w:pPr>
        <w:pStyle w:val="BodyText"/>
        <w:spacing w:before="118"/>
      </w:pPr>
      <w:r>
        <w:t>Our schools will consult parents/carers and stakeholders when creating an SRE policy.</w:t>
      </w:r>
    </w:p>
    <w:p w:rsidR="0047560A" w:rsidRDefault="004D6965">
      <w:pPr>
        <w:pStyle w:val="BodyText"/>
        <w:spacing w:before="121"/>
        <w:ind w:right="1033"/>
      </w:pPr>
      <w:r>
        <w:t>Therefore, this policy has been developed in consultation with staff, pupils and parents/carers. The consultation and policy development process involved the following steps:</w:t>
      </w:r>
    </w:p>
    <w:p w:rsidR="0047560A" w:rsidRDefault="004D6965">
      <w:pPr>
        <w:pStyle w:val="ListParagraph"/>
        <w:numPr>
          <w:ilvl w:val="0"/>
          <w:numId w:val="3"/>
        </w:numPr>
        <w:tabs>
          <w:tab w:val="left" w:pos="463"/>
        </w:tabs>
        <w:spacing w:before="120"/>
        <w:ind w:right="1292" w:firstLine="0"/>
      </w:pPr>
      <w:r>
        <w:t>Review – Members of staff have collated all relevant information including relevant national and local</w:t>
      </w:r>
      <w:r>
        <w:rPr>
          <w:spacing w:val="-3"/>
        </w:rPr>
        <w:t xml:space="preserve"> </w:t>
      </w:r>
      <w:r>
        <w:t>guidance</w:t>
      </w:r>
    </w:p>
    <w:p w:rsidR="0047560A" w:rsidRDefault="004D6965">
      <w:pPr>
        <w:pStyle w:val="ListParagraph"/>
        <w:numPr>
          <w:ilvl w:val="0"/>
          <w:numId w:val="3"/>
        </w:numPr>
        <w:tabs>
          <w:tab w:val="left" w:pos="463"/>
        </w:tabs>
        <w:spacing w:before="118"/>
        <w:ind w:right="1119" w:firstLine="0"/>
      </w:pPr>
      <w:r>
        <w:t>Staff consultation – all school staff are given the opportunity to look at the policy and make</w:t>
      </w:r>
      <w:r>
        <w:rPr>
          <w:spacing w:val="-2"/>
        </w:rPr>
        <w:t xml:space="preserve"> </w:t>
      </w:r>
      <w:r>
        <w:t>recommendations</w:t>
      </w:r>
    </w:p>
    <w:p w:rsidR="0047560A" w:rsidRDefault="004D6965">
      <w:pPr>
        <w:pStyle w:val="ListParagraph"/>
        <w:numPr>
          <w:ilvl w:val="0"/>
          <w:numId w:val="3"/>
        </w:numPr>
        <w:tabs>
          <w:tab w:val="left" w:pos="463"/>
        </w:tabs>
        <w:spacing w:before="123"/>
        <w:ind w:right="765" w:firstLine="0"/>
      </w:pPr>
      <w:r>
        <w:t>Parents/carers and stakeholder consultation – parents/carers and any interested parties are invited to contribute to and comment on the</w:t>
      </w:r>
      <w:r>
        <w:rPr>
          <w:spacing w:val="-12"/>
        </w:rPr>
        <w:t xml:space="preserve"> </w:t>
      </w:r>
      <w:r>
        <w:t>policy</w:t>
      </w:r>
    </w:p>
    <w:p w:rsidR="0047560A" w:rsidRDefault="004D6965">
      <w:pPr>
        <w:pStyle w:val="ListParagraph"/>
        <w:numPr>
          <w:ilvl w:val="0"/>
          <w:numId w:val="3"/>
        </w:numPr>
        <w:tabs>
          <w:tab w:val="left" w:pos="463"/>
        </w:tabs>
        <w:spacing w:before="118"/>
        <w:ind w:left="462" w:hanging="246"/>
      </w:pPr>
      <w:r>
        <w:t>Pupil consultation – we consult on what exactly pupils want from their</w:t>
      </w:r>
      <w:r>
        <w:rPr>
          <w:spacing w:val="-20"/>
        </w:rPr>
        <w:t xml:space="preserve"> </w:t>
      </w:r>
      <w:r>
        <w:t>SRE</w:t>
      </w:r>
    </w:p>
    <w:p w:rsidR="0047560A" w:rsidRDefault="004D6965">
      <w:pPr>
        <w:pStyle w:val="ListParagraph"/>
        <w:numPr>
          <w:ilvl w:val="0"/>
          <w:numId w:val="3"/>
        </w:numPr>
        <w:tabs>
          <w:tab w:val="left" w:pos="463"/>
        </w:tabs>
        <w:spacing w:before="121"/>
        <w:ind w:right="594" w:firstLine="0"/>
      </w:pPr>
      <w:r>
        <w:t>Ratification – this policy is shared with Trustees and ratified by the Board of Trustees. It is also circulated to LGB’s for input especially Teaching and Learning</w:t>
      </w:r>
      <w:r>
        <w:rPr>
          <w:spacing w:val="-21"/>
        </w:rPr>
        <w:t xml:space="preserve"> </w:t>
      </w:r>
      <w:r>
        <w:t>Committees.</w:t>
      </w:r>
    </w:p>
    <w:p w:rsidR="0047560A" w:rsidRDefault="0047560A">
      <w:pPr>
        <w:sectPr w:rsidR="0047560A">
          <w:pgSz w:w="11910" w:h="16840"/>
          <w:pgMar w:top="2400" w:right="920" w:bottom="1640" w:left="1220" w:header="805" w:footer="1456" w:gutter="0"/>
          <w:cols w:space="720"/>
        </w:sectPr>
      </w:pPr>
    </w:p>
    <w:p w:rsidR="0047560A" w:rsidRDefault="0047560A">
      <w:pPr>
        <w:pStyle w:val="BodyText"/>
        <w:spacing w:before="3"/>
        <w:ind w:left="0"/>
        <w:rPr>
          <w:sz w:val="14"/>
        </w:rPr>
      </w:pPr>
    </w:p>
    <w:p w:rsidR="0047560A" w:rsidRDefault="004D6965">
      <w:pPr>
        <w:pStyle w:val="Heading1"/>
        <w:numPr>
          <w:ilvl w:val="0"/>
          <w:numId w:val="2"/>
        </w:numPr>
        <w:tabs>
          <w:tab w:val="left" w:pos="530"/>
        </w:tabs>
        <w:spacing w:before="90"/>
        <w:ind w:hanging="313"/>
      </w:pPr>
      <w:bookmarkStart w:id="3" w:name="_TOC_250005"/>
      <w:bookmarkEnd w:id="3"/>
      <w:r>
        <w:t>Definition</w:t>
      </w:r>
    </w:p>
    <w:p w:rsidR="0047560A" w:rsidRDefault="004D6965">
      <w:pPr>
        <w:pStyle w:val="BodyText"/>
        <w:spacing w:before="113"/>
        <w:ind w:right="593"/>
      </w:pPr>
      <w:r>
        <w:t>SRE is about the emotional, social and cultural development of pupils, and involves learning about relationships, sexual health, sexuality, healthy lifestyles, diversity and personal identity.</w:t>
      </w:r>
    </w:p>
    <w:p w:rsidR="0047560A" w:rsidRDefault="004D6965">
      <w:pPr>
        <w:pStyle w:val="BodyText"/>
        <w:spacing w:before="125" w:line="355" w:lineRule="auto"/>
        <w:ind w:right="1302"/>
      </w:pPr>
      <w:r>
        <w:t>SRE involves a combination of sharing information, and exploring issues and values. SRE is not about the promotion of sexual activity.</w:t>
      </w:r>
    </w:p>
    <w:p w:rsidR="0047560A" w:rsidRDefault="0047560A">
      <w:pPr>
        <w:pStyle w:val="BodyText"/>
        <w:spacing w:before="2"/>
        <w:ind w:left="0"/>
        <w:rPr>
          <w:sz w:val="32"/>
        </w:rPr>
      </w:pPr>
    </w:p>
    <w:p w:rsidR="0047560A" w:rsidRDefault="004D6965">
      <w:pPr>
        <w:pStyle w:val="Heading1"/>
        <w:numPr>
          <w:ilvl w:val="0"/>
          <w:numId w:val="2"/>
        </w:numPr>
        <w:tabs>
          <w:tab w:val="left" w:pos="530"/>
        </w:tabs>
        <w:spacing w:before="1"/>
        <w:ind w:hanging="313"/>
      </w:pPr>
      <w:bookmarkStart w:id="4" w:name="_TOC_250004"/>
      <w:r>
        <w:t>Delivery of</w:t>
      </w:r>
      <w:r>
        <w:rPr>
          <w:spacing w:val="-1"/>
        </w:rPr>
        <w:t xml:space="preserve"> </w:t>
      </w:r>
      <w:bookmarkEnd w:id="4"/>
      <w:r>
        <w:t>SRE</w:t>
      </w:r>
    </w:p>
    <w:p w:rsidR="0047560A" w:rsidRDefault="004D6965">
      <w:pPr>
        <w:pStyle w:val="BodyText"/>
        <w:spacing w:before="118"/>
        <w:ind w:right="900"/>
      </w:pPr>
      <w:r>
        <w:t>SRE is taught within the personal, social, health and economic (PSHE) education curriculum. Biological aspects of SRE are taught within the science curriculum, and other aspects are included in religious education (RE).</w:t>
      </w:r>
    </w:p>
    <w:p w:rsidR="001B672A" w:rsidRDefault="001B672A">
      <w:pPr>
        <w:pStyle w:val="BodyText"/>
        <w:spacing w:before="118"/>
        <w:ind w:right="900"/>
      </w:pPr>
      <w:r>
        <w:t>The new Government guidance describes two components to SRE, namely:</w:t>
      </w:r>
    </w:p>
    <w:p w:rsidR="001B672A" w:rsidRDefault="001B672A" w:rsidP="001B672A">
      <w:pPr>
        <w:pStyle w:val="BodyText"/>
        <w:numPr>
          <w:ilvl w:val="0"/>
          <w:numId w:val="6"/>
        </w:numPr>
        <w:spacing w:before="118"/>
        <w:ind w:right="900"/>
      </w:pPr>
      <w:r>
        <w:t>Relationships Education</w:t>
      </w:r>
    </w:p>
    <w:p w:rsidR="001B672A" w:rsidRDefault="001B672A" w:rsidP="001B672A">
      <w:pPr>
        <w:pStyle w:val="BodyText"/>
        <w:numPr>
          <w:ilvl w:val="0"/>
          <w:numId w:val="6"/>
        </w:numPr>
        <w:spacing w:before="118"/>
        <w:ind w:right="900"/>
      </w:pPr>
      <w:r>
        <w:t>Sex Education</w:t>
      </w:r>
    </w:p>
    <w:p w:rsidR="001B672A" w:rsidRDefault="001B672A" w:rsidP="001B672A">
      <w:pPr>
        <w:pStyle w:val="BodyText"/>
        <w:spacing w:before="118"/>
        <w:ind w:right="900"/>
      </w:pPr>
    </w:p>
    <w:p w:rsidR="001B672A" w:rsidRDefault="001B672A" w:rsidP="001B672A">
      <w:pPr>
        <w:pStyle w:val="BodyText"/>
        <w:spacing w:before="118"/>
        <w:ind w:right="900"/>
      </w:pPr>
      <w:r>
        <w:t xml:space="preserve">Our primary children will be taught Relationships education. Our secondary pupils are taught sex and relationships education. </w:t>
      </w:r>
    </w:p>
    <w:p w:rsidR="001B672A" w:rsidRDefault="001B672A" w:rsidP="001B672A">
      <w:pPr>
        <w:pStyle w:val="BodyText"/>
        <w:spacing w:before="119"/>
        <w:ind w:right="1326"/>
      </w:pPr>
      <w:r>
        <w:t>Within this our secondary pupils will</w:t>
      </w:r>
      <w:r w:rsidR="004D6965">
        <w:t xml:space="preserve"> receive stand-alone sex education sessions delivered b</w:t>
      </w:r>
      <w:r>
        <w:t>y a trained health professional where appropriate.</w:t>
      </w:r>
    </w:p>
    <w:p w:rsidR="0047560A" w:rsidRDefault="004D6965">
      <w:pPr>
        <w:pStyle w:val="BodyText"/>
        <w:spacing w:before="118"/>
        <w:ind w:right="1278"/>
      </w:pPr>
      <w:r>
        <w:t>Individual discussion and teaching may take place with key members of staff such as teaching assistants and therapists especially if specific concerns or input is deemed appropriate.</w:t>
      </w:r>
    </w:p>
    <w:p w:rsidR="0047560A" w:rsidRDefault="004D6965">
      <w:pPr>
        <w:pStyle w:val="BodyText"/>
        <w:spacing w:before="125"/>
      </w:pPr>
      <w:r>
        <w:t>Across all key stages, pupils will be supported with developing the following skills:</w:t>
      </w:r>
    </w:p>
    <w:p w:rsidR="0047560A" w:rsidRDefault="004D6965">
      <w:pPr>
        <w:pStyle w:val="ListParagraph"/>
        <w:numPr>
          <w:ilvl w:val="1"/>
          <w:numId w:val="2"/>
        </w:numPr>
        <w:tabs>
          <w:tab w:val="left" w:pos="937"/>
          <w:tab w:val="left" w:pos="938"/>
        </w:tabs>
        <w:spacing w:before="116" w:line="269" w:lineRule="exact"/>
        <w:ind w:hanging="361"/>
      </w:pPr>
      <w:r>
        <w:t>Communication, including how to manage changing relationships and</w:t>
      </w:r>
      <w:r>
        <w:rPr>
          <w:spacing w:val="-18"/>
        </w:rPr>
        <w:t xml:space="preserve"> </w:t>
      </w:r>
      <w:r>
        <w:t>emotions</w:t>
      </w:r>
    </w:p>
    <w:p w:rsidR="0047560A" w:rsidRDefault="004D6965">
      <w:pPr>
        <w:pStyle w:val="ListParagraph"/>
        <w:numPr>
          <w:ilvl w:val="1"/>
          <w:numId w:val="2"/>
        </w:numPr>
        <w:tabs>
          <w:tab w:val="left" w:pos="937"/>
          <w:tab w:val="left" w:pos="938"/>
        </w:tabs>
        <w:spacing w:line="269" w:lineRule="exact"/>
        <w:ind w:hanging="361"/>
      </w:pPr>
      <w:proofErr w:type="spellStart"/>
      <w:r>
        <w:t>Recognising</w:t>
      </w:r>
      <w:proofErr w:type="spellEnd"/>
      <w:r>
        <w:t xml:space="preserve"> and assessing potential</w:t>
      </w:r>
      <w:r>
        <w:rPr>
          <w:spacing w:val="-5"/>
        </w:rPr>
        <w:t xml:space="preserve"> </w:t>
      </w:r>
      <w:r>
        <w:t>risks</w:t>
      </w:r>
    </w:p>
    <w:p w:rsidR="0047560A" w:rsidRDefault="004D6965">
      <w:pPr>
        <w:pStyle w:val="ListParagraph"/>
        <w:numPr>
          <w:ilvl w:val="1"/>
          <w:numId w:val="2"/>
        </w:numPr>
        <w:tabs>
          <w:tab w:val="left" w:pos="937"/>
          <w:tab w:val="left" w:pos="938"/>
        </w:tabs>
        <w:spacing w:line="269" w:lineRule="exact"/>
        <w:ind w:hanging="361"/>
      </w:pPr>
      <w:r>
        <w:t>Assertiveness</w:t>
      </w:r>
    </w:p>
    <w:p w:rsidR="0047560A" w:rsidRDefault="004D6965">
      <w:pPr>
        <w:pStyle w:val="ListParagraph"/>
        <w:numPr>
          <w:ilvl w:val="1"/>
          <w:numId w:val="2"/>
        </w:numPr>
        <w:tabs>
          <w:tab w:val="left" w:pos="937"/>
          <w:tab w:val="left" w:pos="938"/>
        </w:tabs>
        <w:spacing w:line="266" w:lineRule="exact"/>
        <w:ind w:hanging="361"/>
      </w:pPr>
      <w:r>
        <w:t>Seeking help and support when</w:t>
      </w:r>
      <w:r>
        <w:rPr>
          <w:spacing w:val="-6"/>
        </w:rPr>
        <w:t xml:space="preserve"> </w:t>
      </w:r>
      <w:r>
        <w:t>required</w:t>
      </w:r>
    </w:p>
    <w:p w:rsidR="0047560A" w:rsidRDefault="004D6965">
      <w:pPr>
        <w:pStyle w:val="ListParagraph"/>
        <w:numPr>
          <w:ilvl w:val="1"/>
          <w:numId w:val="2"/>
        </w:numPr>
        <w:tabs>
          <w:tab w:val="left" w:pos="937"/>
          <w:tab w:val="left" w:pos="938"/>
        </w:tabs>
        <w:spacing w:line="266" w:lineRule="exact"/>
        <w:ind w:hanging="361"/>
      </w:pPr>
      <w:r>
        <w:t>Informed</w:t>
      </w:r>
      <w:r>
        <w:rPr>
          <w:spacing w:val="-2"/>
        </w:rPr>
        <w:t xml:space="preserve"> </w:t>
      </w:r>
      <w:r>
        <w:t>decision-making</w:t>
      </w:r>
    </w:p>
    <w:p w:rsidR="0047560A" w:rsidRDefault="004D6965">
      <w:pPr>
        <w:pStyle w:val="ListParagraph"/>
        <w:numPr>
          <w:ilvl w:val="1"/>
          <w:numId w:val="2"/>
        </w:numPr>
        <w:tabs>
          <w:tab w:val="left" w:pos="937"/>
          <w:tab w:val="left" w:pos="938"/>
        </w:tabs>
        <w:spacing w:line="269" w:lineRule="exact"/>
        <w:ind w:hanging="361"/>
      </w:pPr>
      <w:r>
        <w:t>Self-respect and empathy for</w:t>
      </w:r>
      <w:r>
        <w:rPr>
          <w:spacing w:val="-5"/>
        </w:rPr>
        <w:t xml:space="preserve"> </w:t>
      </w:r>
      <w:r>
        <w:t>others</w:t>
      </w:r>
    </w:p>
    <w:p w:rsidR="0047560A" w:rsidRDefault="004D6965">
      <w:pPr>
        <w:pStyle w:val="ListParagraph"/>
        <w:numPr>
          <w:ilvl w:val="1"/>
          <w:numId w:val="2"/>
        </w:numPr>
        <w:tabs>
          <w:tab w:val="left" w:pos="937"/>
          <w:tab w:val="left" w:pos="938"/>
        </w:tabs>
        <w:spacing w:line="269" w:lineRule="exact"/>
        <w:ind w:hanging="361"/>
      </w:pPr>
      <w:proofErr w:type="spellStart"/>
      <w:r>
        <w:t>Recognising</w:t>
      </w:r>
      <w:proofErr w:type="spellEnd"/>
      <w:r>
        <w:t xml:space="preserve"> and </w:t>
      </w:r>
      <w:proofErr w:type="spellStart"/>
      <w:r>
        <w:t>maximising</w:t>
      </w:r>
      <w:proofErr w:type="spellEnd"/>
      <w:r>
        <w:t xml:space="preserve"> a healthy</w:t>
      </w:r>
      <w:r>
        <w:rPr>
          <w:spacing w:val="-7"/>
        </w:rPr>
        <w:t xml:space="preserve"> </w:t>
      </w:r>
      <w:r>
        <w:t>lifestyle</w:t>
      </w:r>
    </w:p>
    <w:p w:rsidR="0047560A" w:rsidRDefault="004D6965">
      <w:pPr>
        <w:pStyle w:val="ListParagraph"/>
        <w:numPr>
          <w:ilvl w:val="1"/>
          <w:numId w:val="2"/>
        </w:numPr>
        <w:tabs>
          <w:tab w:val="left" w:pos="937"/>
          <w:tab w:val="left" w:pos="938"/>
        </w:tabs>
        <w:spacing w:line="269" w:lineRule="exact"/>
        <w:ind w:hanging="361"/>
      </w:pPr>
      <w:r>
        <w:t>Managing</w:t>
      </w:r>
      <w:r>
        <w:rPr>
          <w:spacing w:val="-2"/>
        </w:rPr>
        <w:t xml:space="preserve"> </w:t>
      </w:r>
      <w:r>
        <w:t>conflict</w:t>
      </w:r>
    </w:p>
    <w:p w:rsidR="0047560A" w:rsidRDefault="004D6965">
      <w:pPr>
        <w:pStyle w:val="ListParagraph"/>
        <w:numPr>
          <w:ilvl w:val="1"/>
          <w:numId w:val="2"/>
        </w:numPr>
        <w:tabs>
          <w:tab w:val="left" w:pos="937"/>
          <w:tab w:val="left" w:pos="938"/>
        </w:tabs>
        <w:spacing w:line="269" w:lineRule="exact"/>
        <w:ind w:hanging="361"/>
      </w:pPr>
      <w:r>
        <w:t>Discussion and group</w:t>
      </w:r>
      <w:r>
        <w:rPr>
          <w:spacing w:val="-4"/>
        </w:rPr>
        <w:t xml:space="preserve"> </w:t>
      </w:r>
      <w:r>
        <w:t>work.</w:t>
      </w:r>
    </w:p>
    <w:p w:rsidR="0047560A" w:rsidRDefault="004D6965">
      <w:pPr>
        <w:pStyle w:val="BodyText"/>
        <w:spacing w:before="115"/>
        <w:ind w:right="629"/>
      </w:pPr>
      <w:r>
        <w:t>These skills are taught within the context of family life or a care home. The approaches to the teaching and learning of these skills will be differentiated to meet the individual needs of pupils, taking full account of their special educational needs and disabilities, and social, emotional, and behavioural difficulties.</w:t>
      </w:r>
    </w:p>
    <w:p w:rsidR="001B672A" w:rsidRDefault="001B672A">
      <w:pPr>
        <w:pStyle w:val="BodyText"/>
        <w:spacing w:before="115"/>
        <w:ind w:right="629"/>
      </w:pPr>
    </w:p>
    <w:p w:rsidR="001B672A" w:rsidRDefault="001B672A">
      <w:pPr>
        <w:pStyle w:val="BodyText"/>
        <w:spacing w:before="115"/>
        <w:ind w:right="629"/>
      </w:pPr>
    </w:p>
    <w:p w:rsidR="001B672A" w:rsidRDefault="001B672A">
      <w:pPr>
        <w:pStyle w:val="BodyText"/>
        <w:spacing w:before="115"/>
        <w:ind w:right="629"/>
      </w:pPr>
    </w:p>
    <w:p w:rsidR="001B672A" w:rsidRDefault="001B672A">
      <w:pPr>
        <w:pStyle w:val="BodyText"/>
        <w:spacing w:before="115"/>
        <w:ind w:right="629"/>
      </w:pPr>
    </w:p>
    <w:p w:rsidR="001B672A" w:rsidRDefault="001B672A">
      <w:pPr>
        <w:pStyle w:val="BodyText"/>
        <w:spacing w:before="115"/>
        <w:ind w:right="629"/>
      </w:pPr>
    </w:p>
    <w:p w:rsidR="001B672A" w:rsidRDefault="001B672A" w:rsidP="001B672A">
      <w:pPr>
        <w:pStyle w:val="Heading1"/>
        <w:numPr>
          <w:ilvl w:val="0"/>
          <w:numId w:val="2"/>
        </w:numPr>
        <w:tabs>
          <w:tab w:val="left" w:pos="530"/>
        </w:tabs>
        <w:spacing w:before="1"/>
        <w:ind w:hanging="313"/>
      </w:pPr>
      <w:r>
        <w:t xml:space="preserve">Pupils with special educational needs and disabilities (SEND) </w:t>
      </w:r>
    </w:p>
    <w:p w:rsidR="001B672A" w:rsidRDefault="001B672A" w:rsidP="001B672A">
      <w:pPr>
        <w:pStyle w:val="BodyText"/>
        <w:spacing w:before="115"/>
        <w:ind w:left="529" w:right="629"/>
      </w:pPr>
    </w:p>
    <w:p w:rsidR="001B672A" w:rsidRDefault="001B672A" w:rsidP="001B672A">
      <w:pPr>
        <w:pStyle w:val="BodyText"/>
        <w:spacing w:before="115"/>
        <w:ind w:left="284" w:right="629"/>
      </w:pPr>
      <w:r>
        <w:t>Relationships Education, RSE and Health Education must be accessible for all pupils.</w:t>
      </w:r>
    </w:p>
    <w:p w:rsidR="001B672A" w:rsidRDefault="001B672A" w:rsidP="001B672A">
      <w:pPr>
        <w:pStyle w:val="BodyText"/>
        <w:spacing w:before="115"/>
        <w:ind w:left="284" w:right="629"/>
      </w:pPr>
      <w:r>
        <w:t xml:space="preserve">High quality teaching that is differentiated and </w:t>
      </w:r>
      <w:proofErr w:type="spellStart"/>
      <w:r>
        <w:t>personalised</w:t>
      </w:r>
      <w:proofErr w:type="spellEnd"/>
      <w:r>
        <w:t xml:space="preserve"> will be the starting point to ensure accessibility</w:t>
      </w:r>
      <w:r>
        <w:t xml:space="preserve"> to our pupils</w:t>
      </w:r>
      <w:r>
        <w:t xml:space="preserve">. </w:t>
      </w:r>
      <w:r>
        <w:t>We</w:t>
      </w:r>
      <w:r>
        <w:t xml:space="preserve"> </w:t>
      </w:r>
      <w:r>
        <w:t>are also required to</w:t>
      </w:r>
      <w:r>
        <w:t xml:space="preserve"> be mindful of the pre</w:t>
      </w:r>
      <w:r>
        <w:t>paring for adulthood outcomes,</w:t>
      </w:r>
      <w:r>
        <w:t xml:space="preserve"> as set out in the SEND code of practice, when teaching these subjects to those with SEND. </w:t>
      </w:r>
    </w:p>
    <w:p w:rsidR="001B672A" w:rsidRDefault="001B672A" w:rsidP="001B672A">
      <w:pPr>
        <w:pStyle w:val="BodyText"/>
        <w:spacing w:before="115"/>
        <w:ind w:left="284" w:right="629"/>
      </w:pPr>
      <w:r>
        <w:t>We are</w:t>
      </w:r>
      <w:r>
        <w:t xml:space="preserve"> aware that some pupils are more vulnerable to exploitation, bullying and other issues due to the nature of their SEND. Relationships Education and RSE can also be particularly important subjects for some pupils; for </w:t>
      </w:r>
      <w:proofErr w:type="gramStart"/>
      <w:r>
        <w:t>example</w:t>
      </w:r>
      <w:proofErr w:type="gramEnd"/>
      <w:r>
        <w:t xml:space="preserve"> those with Social, Emotional and Mental Health needs or learning disabilities. </w:t>
      </w:r>
    </w:p>
    <w:p w:rsidR="001B672A" w:rsidRDefault="001B672A" w:rsidP="001B672A">
      <w:pPr>
        <w:pStyle w:val="BodyText"/>
        <w:spacing w:before="115"/>
        <w:ind w:left="284" w:right="629"/>
      </w:pPr>
      <w:r>
        <w:t xml:space="preserve">Such factors </w:t>
      </w:r>
      <w:r>
        <w:t>will</w:t>
      </w:r>
      <w:r>
        <w:t xml:space="preserve"> be taken into consideration </w:t>
      </w:r>
      <w:r>
        <w:t>when we are</w:t>
      </w:r>
      <w:r>
        <w:t xml:space="preserve"> designing and teaching these subjects. </w:t>
      </w:r>
      <w:r>
        <w:t>Due to the nature of the needs of some of our pupils,</w:t>
      </w:r>
      <w:r>
        <w:t xml:space="preserve"> there may be a need to tailor content and teaching to meet the specific needs of</w:t>
      </w:r>
      <w:r>
        <w:t xml:space="preserve"> those</w:t>
      </w:r>
      <w:r>
        <w:t xml:space="preserve"> pupils at different developmental stages. As with all teaching for these subjects, </w:t>
      </w:r>
      <w:r>
        <w:t>we will</w:t>
      </w:r>
      <w:r>
        <w:t xml:space="preserve"> ensure that </w:t>
      </w:r>
      <w:r>
        <w:t>our</w:t>
      </w:r>
      <w:r>
        <w:t xml:space="preserve"> teaching is sensitive, age-appropriate, developmentally appropriate and delivered with reference to the law.</w:t>
      </w:r>
    </w:p>
    <w:p w:rsidR="0047560A" w:rsidRDefault="0047560A">
      <w:pPr>
        <w:pStyle w:val="BodyText"/>
        <w:ind w:left="0"/>
        <w:rPr>
          <w:sz w:val="24"/>
        </w:rPr>
      </w:pPr>
    </w:p>
    <w:p w:rsidR="0047560A" w:rsidRDefault="0047560A">
      <w:pPr>
        <w:pStyle w:val="BodyText"/>
        <w:spacing w:before="2"/>
        <w:ind w:left="0"/>
        <w:rPr>
          <w:sz w:val="19"/>
        </w:rPr>
      </w:pPr>
    </w:p>
    <w:p w:rsidR="0047560A" w:rsidRDefault="004D6965">
      <w:pPr>
        <w:pStyle w:val="Heading1"/>
        <w:numPr>
          <w:ilvl w:val="0"/>
          <w:numId w:val="2"/>
        </w:numPr>
        <w:tabs>
          <w:tab w:val="left" w:pos="530"/>
        </w:tabs>
        <w:ind w:hanging="313"/>
      </w:pPr>
      <w:bookmarkStart w:id="5" w:name="_TOC_250003"/>
      <w:r>
        <w:t>Roles and</w:t>
      </w:r>
      <w:r>
        <w:rPr>
          <w:spacing w:val="-1"/>
        </w:rPr>
        <w:t xml:space="preserve"> </w:t>
      </w:r>
      <w:bookmarkEnd w:id="5"/>
      <w:r>
        <w:t>responsibilities</w:t>
      </w:r>
    </w:p>
    <w:p w:rsidR="0047560A" w:rsidRDefault="004D6965">
      <w:pPr>
        <w:pStyle w:val="Heading2"/>
        <w:numPr>
          <w:ilvl w:val="1"/>
          <w:numId w:val="1"/>
        </w:numPr>
        <w:tabs>
          <w:tab w:val="left" w:pos="585"/>
        </w:tabs>
        <w:spacing w:before="118"/>
        <w:ind w:hanging="368"/>
      </w:pPr>
      <w:r>
        <w:t>The Board of</w:t>
      </w:r>
      <w:r>
        <w:rPr>
          <w:spacing w:val="-4"/>
        </w:rPr>
        <w:t xml:space="preserve"> </w:t>
      </w:r>
      <w:r>
        <w:t>Trustees</w:t>
      </w:r>
    </w:p>
    <w:p w:rsidR="0047560A" w:rsidRDefault="004D6965">
      <w:pPr>
        <w:pStyle w:val="BodyText"/>
        <w:spacing w:before="122"/>
        <w:ind w:right="850"/>
      </w:pPr>
      <w:r>
        <w:t>The Board of Trustees will approve the SRE policy, and hold each Head to account for its implementation.</w:t>
      </w:r>
    </w:p>
    <w:p w:rsidR="0047560A" w:rsidRDefault="0047560A">
      <w:pPr>
        <w:pStyle w:val="BodyText"/>
        <w:ind w:left="0"/>
        <w:rPr>
          <w:sz w:val="24"/>
        </w:rPr>
      </w:pPr>
    </w:p>
    <w:p w:rsidR="0047560A" w:rsidRDefault="0047560A">
      <w:pPr>
        <w:pStyle w:val="BodyText"/>
        <w:spacing w:before="9"/>
        <w:ind w:left="0"/>
        <w:rPr>
          <w:sz w:val="18"/>
        </w:rPr>
      </w:pPr>
    </w:p>
    <w:p w:rsidR="0047560A" w:rsidRDefault="004D6965">
      <w:pPr>
        <w:pStyle w:val="Heading2"/>
        <w:numPr>
          <w:ilvl w:val="1"/>
          <w:numId w:val="1"/>
        </w:numPr>
        <w:tabs>
          <w:tab w:val="left" w:pos="585"/>
        </w:tabs>
        <w:ind w:hanging="368"/>
      </w:pPr>
      <w:r>
        <w:t>The</w:t>
      </w:r>
      <w:r>
        <w:rPr>
          <w:spacing w:val="-2"/>
        </w:rPr>
        <w:t xml:space="preserve"> </w:t>
      </w:r>
      <w:r>
        <w:t>Head</w:t>
      </w:r>
      <w:r w:rsidR="001B672A">
        <w:t>teacher</w:t>
      </w:r>
    </w:p>
    <w:p w:rsidR="0047560A" w:rsidRDefault="004D6965">
      <w:pPr>
        <w:pStyle w:val="BodyText"/>
        <w:spacing w:before="117"/>
        <w:ind w:right="936"/>
      </w:pPr>
      <w:r>
        <w:t>Each Head is responsible for ensuring that SRE is taught consistently across the school, and for managing requests to withdraw pupils from components of SRE (see section 7).</w:t>
      </w:r>
    </w:p>
    <w:p w:rsidR="0047560A" w:rsidRDefault="0047560A">
      <w:pPr>
        <w:pStyle w:val="BodyText"/>
        <w:spacing w:before="5"/>
        <w:ind w:left="0"/>
        <w:rPr>
          <w:sz w:val="13"/>
        </w:rPr>
      </w:pPr>
    </w:p>
    <w:p w:rsidR="001B672A" w:rsidRDefault="001B672A">
      <w:pPr>
        <w:pStyle w:val="BodyText"/>
        <w:spacing w:before="5"/>
        <w:ind w:left="0"/>
        <w:rPr>
          <w:sz w:val="13"/>
        </w:rPr>
      </w:pPr>
    </w:p>
    <w:p w:rsidR="0047560A" w:rsidRDefault="004D6965">
      <w:pPr>
        <w:pStyle w:val="Heading2"/>
        <w:numPr>
          <w:ilvl w:val="1"/>
          <w:numId w:val="1"/>
        </w:numPr>
        <w:tabs>
          <w:tab w:val="left" w:pos="585"/>
        </w:tabs>
        <w:spacing w:before="93"/>
        <w:ind w:hanging="368"/>
      </w:pPr>
      <w:r>
        <w:t>Staff</w:t>
      </w:r>
    </w:p>
    <w:p w:rsidR="0047560A" w:rsidRDefault="004D6965">
      <w:pPr>
        <w:pStyle w:val="BodyText"/>
        <w:spacing w:before="122"/>
      </w:pPr>
      <w:r>
        <w:t>Staff are responsible for:</w:t>
      </w:r>
    </w:p>
    <w:p w:rsidR="0047560A" w:rsidRDefault="004D6965">
      <w:pPr>
        <w:pStyle w:val="ListParagraph"/>
        <w:numPr>
          <w:ilvl w:val="2"/>
          <w:numId w:val="1"/>
        </w:numPr>
        <w:tabs>
          <w:tab w:val="left" w:pos="937"/>
          <w:tab w:val="left" w:pos="938"/>
        </w:tabs>
        <w:spacing w:before="121" w:line="269" w:lineRule="exact"/>
        <w:ind w:hanging="361"/>
      </w:pPr>
      <w:r>
        <w:t>Delivering SRE in a sensitive</w:t>
      </w:r>
      <w:r>
        <w:rPr>
          <w:spacing w:val="-6"/>
        </w:rPr>
        <w:t xml:space="preserve"> </w:t>
      </w:r>
      <w:r>
        <w:t>way</w:t>
      </w:r>
    </w:p>
    <w:p w:rsidR="0047560A" w:rsidRDefault="004D6965">
      <w:pPr>
        <w:pStyle w:val="ListParagraph"/>
        <w:numPr>
          <w:ilvl w:val="2"/>
          <w:numId w:val="1"/>
        </w:numPr>
        <w:tabs>
          <w:tab w:val="left" w:pos="937"/>
          <w:tab w:val="left" w:pos="938"/>
        </w:tabs>
        <w:spacing w:line="266" w:lineRule="exact"/>
        <w:ind w:hanging="361"/>
      </w:pPr>
      <w:r>
        <w:t>Modelling positive attitudes to</w:t>
      </w:r>
      <w:r>
        <w:rPr>
          <w:spacing w:val="-5"/>
        </w:rPr>
        <w:t xml:space="preserve"> </w:t>
      </w:r>
      <w:r>
        <w:t>SRE</w:t>
      </w:r>
    </w:p>
    <w:p w:rsidR="0047560A" w:rsidRDefault="004D6965">
      <w:pPr>
        <w:pStyle w:val="ListParagraph"/>
        <w:numPr>
          <w:ilvl w:val="2"/>
          <w:numId w:val="1"/>
        </w:numPr>
        <w:tabs>
          <w:tab w:val="left" w:pos="937"/>
          <w:tab w:val="left" w:pos="938"/>
        </w:tabs>
        <w:spacing w:line="266" w:lineRule="exact"/>
        <w:ind w:hanging="361"/>
      </w:pPr>
      <w:r>
        <w:t>Monitoring</w:t>
      </w:r>
      <w:r>
        <w:rPr>
          <w:spacing w:val="-2"/>
        </w:rPr>
        <w:t xml:space="preserve"> </w:t>
      </w:r>
      <w:r>
        <w:t>progress</w:t>
      </w:r>
    </w:p>
    <w:p w:rsidR="0047560A" w:rsidRDefault="004D6965">
      <w:pPr>
        <w:pStyle w:val="ListParagraph"/>
        <w:numPr>
          <w:ilvl w:val="2"/>
          <w:numId w:val="1"/>
        </w:numPr>
        <w:tabs>
          <w:tab w:val="left" w:pos="937"/>
          <w:tab w:val="left" w:pos="938"/>
        </w:tabs>
        <w:spacing w:line="269" w:lineRule="exact"/>
        <w:ind w:hanging="361"/>
      </w:pPr>
      <w:r>
        <w:t>Responding to the needs of individual</w:t>
      </w:r>
      <w:r>
        <w:rPr>
          <w:spacing w:val="-8"/>
        </w:rPr>
        <w:t xml:space="preserve"> </w:t>
      </w:r>
      <w:r>
        <w:t>pupils</w:t>
      </w:r>
    </w:p>
    <w:p w:rsidR="0047560A" w:rsidRDefault="004D6965">
      <w:pPr>
        <w:pStyle w:val="ListParagraph"/>
        <w:numPr>
          <w:ilvl w:val="2"/>
          <w:numId w:val="1"/>
        </w:numPr>
        <w:tabs>
          <w:tab w:val="left" w:pos="937"/>
          <w:tab w:val="left" w:pos="938"/>
        </w:tabs>
        <w:ind w:right="619"/>
      </w:pPr>
      <w:r>
        <w:t>Responding appropriately to pupils whose parents/carers wish them to be withdrawn from the various components of</w:t>
      </w:r>
      <w:r>
        <w:rPr>
          <w:spacing w:val="-6"/>
        </w:rPr>
        <w:t xml:space="preserve"> </w:t>
      </w:r>
      <w:r>
        <w:t>SRE.</w:t>
      </w:r>
    </w:p>
    <w:p w:rsidR="0047560A" w:rsidRDefault="004D6965">
      <w:pPr>
        <w:pStyle w:val="BodyText"/>
        <w:spacing w:before="116"/>
        <w:ind w:right="1241"/>
      </w:pPr>
      <w:r>
        <w:t>Staff do not have the right to opt out of teaching SRE. Staff who have concerns about teaching SRE are encouraged to discuss this with senior staff within their school.</w:t>
      </w:r>
    </w:p>
    <w:p w:rsidR="0047560A" w:rsidRDefault="0047560A">
      <w:pPr>
        <w:pStyle w:val="BodyText"/>
        <w:ind w:left="0"/>
        <w:rPr>
          <w:sz w:val="24"/>
        </w:rPr>
      </w:pPr>
    </w:p>
    <w:p w:rsidR="0047560A" w:rsidRDefault="0047560A">
      <w:pPr>
        <w:pStyle w:val="BodyText"/>
        <w:spacing w:before="2"/>
        <w:ind w:left="0"/>
        <w:rPr>
          <w:sz w:val="19"/>
        </w:rPr>
      </w:pPr>
    </w:p>
    <w:p w:rsidR="0047560A" w:rsidRDefault="004D6965">
      <w:pPr>
        <w:pStyle w:val="Heading2"/>
        <w:numPr>
          <w:ilvl w:val="1"/>
          <w:numId w:val="1"/>
        </w:numPr>
        <w:tabs>
          <w:tab w:val="left" w:pos="585"/>
        </w:tabs>
        <w:ind w:hanging="368"/>
      </w:pPr>
      <w:r>
        <w:lastRenderedPageBreak/>
        <w:t>Pupils</w:t>
      </w:r>
    </w:p>
    <w:p w:rsidR="0047560A" w:rsidRDefault="004D6965">
      <w:pPr>
        <w:pStyle w:val="BodyText"/>
        <w:spacing w:before="117"/>
        <w:ind w:right="960"/>
      </w:pPr>
      <w:r>
        <w:t>Pupils are expected to engage fully in SRE and, when discussing issues related to SRE, treat others with respect and sensitivity.</w:t>
      </w:r>
    </w:p>
    <w:p w:rsidR="001B672A" w:rsidRDefault="001B672A">
      <w:pPr>
        <w:pStyle w:val="BodyText"/>
        <w:spacing w:before="4"/>
        <w:ind w:left="0"/>
        <w:rPr>
          <w:sz w:val="19"/>
        </w:rPr>
      </w:pPr>
    </w:p>
    <w:p w:rsidR="001B672A" w:rsidRDefault="001B672A">
      <w:pPr>
        <w:pStyle w:val="BodyText"/>
        <w:spacing w:before="4"/>
        <w:ind w:left="0"/>
        <w:rPr>
          <w:sz w:val="19"/>
        </w:rPr>
      </w:pPr>
    </w:p>
    <w:p w:rsidR="0047560A" w:rsidRDefault="004D6965">
      <w:pPr>
        <w:pStyle w:val="Heading1"/>
        <w:numPr>
          <w:ilvl w:val="0"/>
          <w:numId w:val="2"/>
        </w:numPr>
        <w:tabs>
          <w:tab w:val="left" w:pos="530"/>
        </w:tabs>
        <w:ind w:hanging="313"/>
      </w:pPr>
      <w:bookmarkStart w:id="6" w:name="_TOC_250002"/>
      <w:r>
        <w:t>Parents/</w:t>
      </w:r>
      <w:proofErr w:type="spellStart"/>
      <w:r>
        <w:t>carers’</w:t>
      </w:r>
      <w:proofErr w:type="spellEnd"/>
      <w:r>
        <w:t xml:space="preserve"> right to</w:t>
      </w:r>
      <w:r>
        <w:rPr>
          <w:spacing w:val="-1"/>
        </w:rPr>
        <w:t xml:space="preserve"> </w:t>
      </w:r>
      <w:bookmarkEnd w:id="6"/>
      <w:r>
        <w:t>withdraw</w:t>
      </w:r>
    </w:p>
    <w:p w:rsidR="001B672A" w:rsidRDefault="004D6965">
      <w:pPr>
        <w:pStyle w:val="BodyText"/>
        <w:spacing w:before="118"/>
        <w:jc w:val="both"/>
      </w:pPr>
      <w:r>
        <w:t xml:space="preserve">Parents/carers </w:t>
      </w:r>
      <w:r w:rsidR="001B672A">
        <w:t xml:space="preserve">continue to </w:t>
      </w:r>
      <w:r>
        <w:t xml:space="preserve">have the right to withdraw their children from </w:t>
      </w:r>
      <w:r w:rsidR="001B672A">
        <w:t>the sex education</w:t>
      </w:r>
      <w:r>
        <w:t xml:space="preserve"> </w:t>
      </w:r>
      <w:r w:rsidR="001B672A">
        <w:t>component</w:t>
      </w:r>
      <w:r>
        <w:t xml:space="preserve"> of SRE.</w:t>
      </w:r>
    </w:p>
    <w:p w:rsidR="001B672A" w:rsidRDefault="001B672A">
      <w:pPr>
        <w:pStyle w:val="BodyText"/>
        <w:spacing w:before="118"/>
        <w:jc w:val="both"/>
      </w:pPr>
      <w:r>
        <w:t xml:space="preserve">They </w:t>
      </w:r>
      <w:r w:rsidRPr="001B672A">
        <w:rPr>
          <w:u w:val="single"/>
        </w:rPr>
        <w:t>do not</w:t>
      </w:r>
      <w:r>
        <w:t xml:space="preserve"> have the right from September 2020 to withdraw their children from the relationships education element of the SRE curriculum.</w:t>
      </w:r>
    </w:p>
    <w:p w:rsidR="0047560A" w:rsidRDefault="004D6965">
      <w:pPr>
        <w:pStyle w:val="BodyText"/>
        <w:spacing w:before="117"/>
        <w:ind w:right="531"/>
        <w:jc w:val="both"/>
      </w:pPr>
      <w:r>
        <w:t xml:space="preserve">Requests for withdrawal </w:t>
      </w:r>
      <w:r w:rsidR="001B672A">
        <w:t xml:space="preserve">from sex education </w:t>
      </w:r>
      <w:r>
        <w:t>should be put in writing and addressed to the Head</w:t>
      </w:r>
      <w:r w:rsidR="001B672A">
        <w:t>teacher</w:t>
      </w:r>
      <w:r>
        <w:t>. A copy of withdrawal requests will be placed in the pupil’s educational record. The Head</w:t>
      </w:r>
      <w:r w:rsidR="001B672A">
        <w:t>teacher</w:t>
      </w:r>
      <w:bookmarkStart w:id="7" w:name="_GoBack"/>
      <w:bookmarkEnd w:id="7"/>
      <w:r>
        <w:t xml:space="preserve"> will discuss the request with parents/carers and take appropriate action.</w:t>
      </w:r>
    </w:p>
    <w:p w:rsidR="0047560A" w:rsidRDefault="004D6965">
      <w:pPr>
        <w:pStyle w:val="BodyText"/>
        <w:spacing w:before="124"/>
        <w:jc w:val="both"/>
      </w:pPr>
      <w:r>
        <w:t xml:space="preserve">Alternative work will be given to pupils who are withdrawn from </w:t>
      </w:r>
      <w:r w:rsidR="001B672A">
        <w:t>sex education</w:t>
      </w:r>
      <w:r>
        <w:t>.</w:t>
      </w:r>
    </w:p>
    <w:p w:rsidR="0047560A" w:rsidRDefault="0047560A">
      <w:pPr>
        <w:pStyle w:val="BodyText"/>
        <w:ind w:left="0"/>
        <w:rPr>
          <w:sz w:val="24"/>
        </w:rPr>
      </w:pPr>
    </w:p>
    <w:p w:rsidR="0047560A" w:rsidRDefault="0047560A">
      <w:pPr>
        <w:pStyle w:val="BodyText"/>
        <w:spacing w:before="10"/>
        <w:ind w:left="0"/>
        <w:rPr>
          <w:sz w:val="18"/>
        </w:rPr>
      </w:pPr>
    </w:p>
    <w:p w:rsidR="0047560A" w:rsidRDefault="004D6965">
      <w:pPr>
        <w:pStyle w:val="Heading1"/>
        <w:numPr>
          <w:ilvl w:val="0"/>
          <w:numId w:val="2"/>
        </w:numPr>
        <w:tabs>
          <w:tab w:val="left" w:pos="530"/>
        </w:tabs>
        <w:ind w:hanging="313"/>
      </w:pPr>
      <w:bookmarkStart w:id="8" w:name="_TOC_250001"/>
      <w:bookmarkEnd w:id="8"/>
      <w:r>
        <w:t>Training</w:t>
      </w:r>
    </w:p>
    <w:p w:rsidR="0047560A" w:rsidRDefault="004D6965">
      <w:pPr>
        <w:pStyle w:val="BodyText"/>
        <w:spacing w:before="118"/>
        <w:ind w:right="997"/>
      </w:pPr>
      <w:r>
        <w:t>Staff are trained on the delivery of SRE as part of their induction and it is included in our continuing professional development calendar.</w:t>
      </w:r>
    </w:p>
    <w:p w:rsidR="0047560A" w:rsidRDefault="004D6965">
      <w:pPr>
        <w:pStyle w:val="BodyText"/>
        <w:spacing w:before="118"/>
        <w:ind w:right="826"/>
      </w:pPr>
      <w:r>
        <w:t>The Head will also invite visitors from outside the school, such as school nurses or sexual health professionals, to provide support and training to staff teaching SRE.</w:t>
      </w:r>
    </w:p>
    <w:p w:rsidR="0047560A" w:rsidRDefault="0047560A">
      <w:pPr>
        <w:pStyle w:val="BodyText"/>
        <w:ind w:left="0"/>
        <w:rPr>
          <w:sz w:val="24"/>
        </w:rPr>
      </w:pPr>
    </w:p>
    <w:p w:rsidR="0047560A" w:rsidRDefault="0047560A">
      <w:pPr>
        <w:pStyle w:val="BodyText"/>
        <w:spacing w:before="4"/>
        <w:ind w:left="0"/>
        <w:rPr>
          <w:sz w:val="19"/>
        </w:rPr>
      </w:pPr>
    </w:p>
    <w:p w:rsidR="0047560A" w:rsidRDefault="004D6965">
      <w:pPr>
        <w:pStyle w:val="Heading1"/>
        <w:numPr>
          <w:ilvl w:val="0"/>
          <w:numId w:val="2"/>
        </w:numPr>
        <w:tabs>
          <w:tab w:val="left" w:pos="530"/>
        </w:tabs>
        <w:ind w:hanging="313"/>
      </w:pPr>
      <w:bookmarkStart w:id="9" w:name="_TOC_250000"/>
      <w:r>
        <w:t>Monitoring</w:t>
      </w:r>
      <w:r>
        <w:rPr>
          <w:spacing w:val="-1"/>
        </w:rPr>
        <w:t xml:space="preserve"> </w:t>
      </w:r>
      <w:bookmarkEnd w:id="9"/>
      <w:r>
        <w:t>arrangements</w:t>
      </w:r>
    </w:p>
    <w:p w:rsidR="0047560A" w:rsidRDefault="004D6965">
      <w:pPr>
        <w:pStyle w:val="BodyText"/>
        <w:spacing w:before="114"/>
        <w:ind w:right="544"/>
      </w:pPr>
      <w:r>
        <w:t>The delivery of SRE is monitored by the nominated trustee through planned scrutiny such as lesson observations, learning walks, discussions with pupils, and any other appropriate means.</w:t>
      </w:r>
    </w:p>
    <w:p w:rsidR="0047560A" w:rsidRDefault="004D6965">
      <w:pPr>
        <w:pStyle w:val="BodyText"/>
        <w:spacing w:before="119"/>
        <w:ind w:right="1658"/>
      </w:pPr>
      <w:r>
        <w:t>Pupils’ development in SRE is monitored by class teachers as part of our internal assessment systems.</w:t>
      </w:r>
    </w:p>
    <w:p w:rsidR="0047560A" w:rsidRDefault="004D6965">
      <w:pPr>
        <w:pStyle w:val="BodyText"/>
        <w:spacing w:before="123"/>
      </w:pPr>
      <w:r>
        <w:t>This policy will be reviewed by the Board of Trustees.</w:t>
      </w:r>
    </w:p>
    <w:p w:rsidR="001B672A" w:rsidRDefault="001B672A">
      <w:pPr>
        <w:pStyle w:val="BodyText"/>
        <w:spacing w:before="123"/>
      </w:pPr>
    </w:p>
    <w:p w:rsidR="001B672A" w:rsidRDefault="001B672A" w:rsidP="001B672A">
      <w:pPr>
        <w:pStyle w:val="Heading1"/>
        <w:numPr>
          <w:ilvl w:val="0"/>
          <w:numId w:val="2"/>
        </w:numPr>
        <w:tabs>
          <w:tab w:val="left" w:pos="530"/>
        </w:tabs>
        <w:ind w:hanging="313"/>
      </w:pPr>
      <w:r>
        <w:t>Further Information</w:t>
      </w:r>
    </w:p>
    <w:p w:rsidR="001B672A" w:rsidRDefault="001B672A" w:rsidP="001B672A">
      <w:pPr>
        <w:pStyle w:val="Heading1"/>
        <w:tabs>
          <w:tab w:val="left" w:pos="530"/>
        </w:tabs>
      </w:pPr>
    </w:p>
    <w:p w:rsidR="001B672A" w:rsidRPr="001B672A" w:rsidRDefault="001B672A" w:rsidP="001B672A">
      <w:pPr>
        <w:pStyle w:val="Heading1"/>
        <w:tabs>
          <w:tab w:val="left" w:pos="530"/>
        </w:tabs>
        <w:rPr>
          <w:b w:val="0"/>
          <w:sz w:val="24"/>
          <w:szCs w:val="24"/>
        </w:rPr>
      </w:pPr>
      <w:r w:rsidRPr="001B672A">
        <w:rPr>
          <w:b w:val="0"/>
          <w:sz w:val="24"/>
          <w:szCs w:val="24"/>
        </w:rPr>
        <w:t>Further information can be foun</w:t>
      </w:r>
      <w:r>
        <w:rPr>
          <w:b w:val="0"/>
          <w:sz w:val="24"/>
          <w:szCs w:val="24"/>
        </w:rPr>
        <w:t>d via</w:t>
      </w:r>
      <w:r w:rsidRPr="001B672A">
        <w:rPr>
          <w:b w:val="0"/>
          <w:sz w:val="24"/>
          <w:szCs w:val="24"/>
        </w:rPr>
        <w:t>:</w:t>
      </w:r>
    </w:p>
    <w:p w:rsidR="001B672A" w:rsidRPr="001B672A" w:rsidRDefault="001B672A" w:rsidP="001B672A">
      <w:pPr>
        <w:pStyle w:val="Heading1"/>
        <w:tabs>
          <w:tab w:val="left" w:pos="530"/>
        </w:tabs>
        <w:rPr>
          <w:b w:val="0"/>
          <w:sz w:val="24"/>
          <w:szCs w:val="24"/>
        </w:rPr>
      </w:pPr>
    </w:p>
    <w:p w:rsidR="001B672A" w:rsidRDefault="001B672A" w:rsidP="001B672A">
      <w:pPr>
        <w:pStyle w:val="Heading1"/>
        <w:tabs>
          <w:tab w:val="left" w:pos="530"/>
        </w:tabs>
      </w:pPr>
      <w:hyperlink r:id="rId12" w:history="1">
        <w:r w:rsidRPr="001B672A">
          <w:rPr>
            <w:rStyle w:val="Hyperlink"/>
            <w:b w:val="0"/>
            <w:sz w:val="24"/>
            <w:szCs w:val="24"/>
          </w:rPr>
          <w:t>https://www.gov.uk/government/news/relationships-education-relationships-and-sex-education-rse-and-health-education-faqs</w:t>
        </w:r>
      </w:hyperlink>
    </w:p>
    <w:sectPr w:rsidR="001B672A">
      <w:pgSz w:w="11910" w:h="16840"/>
      <w:pgMar w:top="2400" w:right="920" w:bottom="1640" w:left="1220" w:header="805" w:footer="1456"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0D91" w:rsidRDefault="00AE0D91">
      <w:r>
        <w:separator/>
      </w:r>
    </w:p>
  </w:endnote>
  <w:endnote w:type="continuationSeparator" w:id="0">
    <w:p w:rsidR="00AE0D91" w:rsidRDefault="00AE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0A" w:rsidRDefault="006D5F51">
    <w:pPr>
      <w:pStyle w:val="BodyText"/>
      <w:spacing w:line="14" w:lineRule="auto"/>
      <w:ind w:left="0"/>
      <w:rPr>
        <w:sz w:val="20"/>
      </w:rPr>
    </w:pPr>
    <w:r>
      <w:rPr>
        <w:noProof/>
        <w:lang w:val="en-GB" w:eastAsia="en-GB"/>
      </w:rPr>
      <mc:AlternateContent>
        <mc:Choice Requires="wps">
          <w:drawing>
            <wp:anchor distT="0" distB="0" distL="114300" distR="114300" simplePos="0" relativeHeight="251416576" behindDoc="1" locked="0" layoutInCell="1" allowOverlap="1">
              <wp:simplePos x="0" y="0"/>
              <wp:positionH relativeFrom="page">
                <wp:posOffset>3700145</wp:posOffset>
              </wp:positionH>
              <wp:positionV relativeFrom="page">
                <wp:posOffset>9627870</wp:posOffset>
              </wp:positionV>
              <wp:extent cx="153670" cy="211455"/>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211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60A" w:rsidRDefault="004D6965">
                          <w:pPr>
                            <w:spacing w:before="20"/>
                            <w:ind w:left="60"/>
                            <w:rPr>
                              <w:rFonts w:ascii="Calibri"/>
                              <w:sz w:val="24"/>
                            </w:rPr>
                          </w:pPr>
                          <w:r>
                            <w:fldChar w:fldCharType="begin"/>
                          </w:r>
                          <w:r>
                            <w:rPr>
                              <w:rFonts w:ascii="Calibri"/>
                              <w:color w:val="4472C4"/>
                              <w:sz w:val="24"/>
                            </w:rPr>
                            <w:instrText xml:space="preserve"> PAGE </w:instrText>
                          </w:r>
                          <w:r>
                            <w:fldChar w:fldCharType="separate"/>
                          </w:r>
                          <w:r w:rsidR="001B672A">
                            <w:rPr>
                              <w:rFonts w:ascii="Calibri"/>
                              <w:noProof/>
                              <w:color w:val="4472C4"/>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91.35pt;margin-top:758.1pt;width:12.1pt;height:16.65pt;z-index:-25189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wo+qwIAAKk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" filled="f" stroked="f">
              <v:textbox inset="0,0,0,0">
                <w:txbxContent>
                  <w:p w:rsidR="0047560A" w:rsidRDefault="004D6965">
                    <w:pPr>
                      <w:spacing w:before="20"/>
                      <w:ind w:left="60"/>
                      <w:rPr>
                        <w:rFonts w:ascii="Calibri"/>
                        <w:sz w:val="24"/>
                      </w:rPr>
                    </w:pPr>
                    <w:r>
                      <w:fldChar w:fldCharType="begin"/>
                    </w:r>
                    <w:r>
                      <w:rPr>
                        <w:rFonts w:ascii="Calibri"/>
                        <w:color w:val="4472C4"/>
                        <w:sz w:val="24"/>
                      </w:rPr>
                      <w:instrText xml:space="preserve"> PAGE </w:instrText>
                    </w:r>
                    <w:r>
                      <w:fldChar w:fldCharType="separate"/>
                    </w:r>
                    <w:r w:rsidR="001B672A">
                      <w:rPr>
                        <w:rFonts w:ascii="Calibri"/>
                        <w:noProof/>
                        <w:color w:val="4472C4"/>
                        <w:sz w:val="24"/>
                      </w:rPr>
                      <w:t>6</w:t>
                    </w:r>
                    <w:r>
                      <w:fldChar w:fldCharType="end"/>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417600" behindDoc="1" locked="0" layoutInCell="1" allowOverlap="1">
              <wp:simplePos x="0" y="0"/>
              <wp:positionH relativeFrom="page">
                <wp:posOffset>4552315</wp:posOffset>
              </wp:positionH>
              <wp:positionV relativeFrom="page">
                <wp:posOffset>9812020</wp:posOffset>
              </wp:positionV>
              <wp:extent cx="2102485" cy="30734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60A" w:rsidRDefault="00AE0D91">
                          <w:pPr>
                            <w:spacing w:before="22"/>
                            <w:ind w:left="20" w:right="1" w:firstLine="1223"/>
                            <w:rPr>
                              <w:rFonts w:ascii="Calibri"/>
                              <w:sz w:val="18"/>
                            </w:rPr>
                          </w:pPr>
                          <w:hyperlink r:id="rId1">
                            <w:r w:rsidR="004D6965">
                              <w:rPr>
                                <w:rFonts w:ascii="Calibri"/>
                                <w:color w:val="0070C0"/>
                                <w:sz w:val="18"/>
                              </w:rPr>
                              <w:t>www.beckmeadtrust.org.uk</w:t>
                            </w:r>
                          </w:hyperlink>
                          <w:r w:rsidR="004D6965">
                            <w:rPr>
                              <w:rFonts w:ascii="Calibri"/>
                              <w:color w:val="0070C0"/>
                              <w:sz w:val="18"/>
                            </w:rPr>
                            <w:t xml:space="preserve"> </w:t>
                          </w:r>
                          <w:r w:rsidR="004D6965">
                            <w:rPr>
                              <w:rFonts w:ascii="Calibri"/>
                              <w:color w:val="767171"/>
                              <w:sz w:val="18"/>
                            </w:rPr>
                            <w:t xml:space="preserve">020 8777 9311| </w:t>
                          </w:r>
                          <w:hyperlink r:id="rId2">
                            <w:r w:rsidR="004D6965">
                              <w:rPr>
                                <w:rFonts w:ascii="Calibri"/>
                                <w:color w:val="767171"/>
                                <w:sz w:val="18"/>
                              </w:rPr>
                              <w:t>info@beckmeadtrust.org.uk</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58.45pt;margin-top:772.6pt;width:165.55pt;height:24.2pt;z-index:-251898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HO6swIAALE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" filled="f" stroked="f">
              <v:textbox inset="0,0,0,0">
                <w:txbxContent>
                  <w:p w:rsidR="0047560A" w:rsidRDefault="00AE0D91">
                    <w:pPr>
                      <w:spacing w:before="22"/>
                      <w:ind w:left="20" w:right="1" w:firstLine="1223"/>
                      <w:rPr>
                        <w:rFonts w:ascii="Calibri"/>
                        <w:sz w:val="18"/>
                      </w:rPr>
                    </w:pPr>
                    <w:hyperlink r:id="rId3">
                      <w:r w:rsidR="004D6965">
                        <w:rPr>
                          <w:rFonts w:ascii="Calibri"/>
                          <w:color w:val="0070C0"/>
                          <w:sz w:val="18"/>
                        </w:rPr>
                        <w:t>www.beckmeadtrust.org.uk</w:t>
                      </w:r>
                    </w:hyperlink>
                    <w:r w:rsidR="004D6965">
                      <w:rPr>
                        <w:rFonts w:ascii="Calibri"/>
                        <w:color w:val="0070C0"/>
                        <w:sz w:val="18"/>
                      </w:rPr>
                      <w:t xml:space="preserve"> </w:t>
                    </w:r>
                    <w:r w:rsidR="004D6965">
                      <w:rPr>
                        <w:rFonts w:ascii="Calibri"/>
                        <w:color w:val="767171"/>
                        <w:sz w:val="18"/>
                      </w:rPr>
                      <w:t xml:space="preserve">020 8777 9311| </w:t>
                    </w:r>
                    <w:hyperlink r:id="rId4">
                      <w:r w:rsidR="004D6965">
                        <w:rPr>
                          <w:rFonts w:ascii="Calibri"/>
                          <w:color w:val="767171"/>
                          <w:sz w:val="18"/>
                        </w:rPr>
                        <w:t>info@beckmeadtrust.org.uk</w:t>
                      </w:r>
                    </w:hyperlink>
                  </w:p>
                </w:txbxContent>
              </v:textbox>
              <w10:wrap anchorx="page" anchory="page"/>
            </v:shape>
          </w:pict>
        </mc:Fallback>
      </mc:AlternateContent>
    </w:r>
    <w:r>
      <w:rPr>
        <w:noProof/>
        <w:lang w:val="en-GB" w:eastAsia="en-GB"/>
      </w:rPr>
      <mc:AlternateContent>
        <mc:Choice Requires="wps">
          <w:drawing>
            <wp:anchor distT="0" distB="0" distL="114300" distR="114300" simplePos="0" relativeHeight="251418624" behindDoc="1" locked="0" layoutInCell="1" allowOverlap="1">
              <wp:simplePos x="0" y="0"/>
              <wp:positionH relativeFrom="page">
                <wp:posOffset>3373120</wp:posOffset>
              </wp:positionH>
              <wp:positionV relativeFrom="page">
                <wp:posOffset>10088880</wp:posOffset>
              </wp:positionV>
              <wp:extent cx="3280410" cy="167005"/>
              <wp:effectExtent l="0" t="0" r="0" b="0"/>
              <wp:wrapNone/>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4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560A" w:rsidRDefault="004D6965">
                          <w:pPr>
                            <w:spacing w:before="22"/>
                            <w:ind w:left="20"/>
                            <w:rPr>
                              <w:rFonts w:ascii="Calibri"/>
                              <w:sz w:val="18"/>
                            </w:rPr>
                          </w:pPr>
                          <w:r>
                            <w:rPr>
                              <w:rFonts w:ascii="Calibri"/>
                              <w:color w:val="767171"/>
                              <w:sz w:val="18"/>
                            </w:rPr>
                            <w:t xml:space="preserve">The Beckmead Trust, Monks Orchard Road, </w:t>
                          </w:r>
                          <w:proofErr w:type="spellStart"/>
                          <w:r>
                            <w:rPr>
                              <w:rFonts w:ascii="Calibri"/>
                              <w:color w:val="767171"/>
                              <w:sz w:val="18"/>
                            </w:rPr>
                            <w:t>Beckenham</w:t>
                          </w:r>
                          <w:proofErr w:type="spellEnd"/>
                          <w:r>
                            <w:rPr>
                              <w:rFonts w:ascii="Calibri"/>
                              <w:color w:val="767171"/>
                              <w:sz w:val="18"/>
                            </w:rPr>
                            <w:t>, Kent BR3 3BZ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265.6pt;margin-top:794.4pt;width:258.3pt;height:13.15pt;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" filled="f" stroked="f">
              <v:textbox inset="0,0,0,0">
                <w:txbxContent>
                  <w:p w:rsidR="0047560A" w:rsidRDefault="004D6965">
                    <w:pPr>
                      <w:spacing w:before="22"/>
                      <w:ind w:left="20"/>
                      <w:rPr>
                        <w:rFonts w:ascii="Calibri"/>
                        <w:sz w:val="18"/>
                      </w:rPr>
                    </w:pPr>
                    <w:r>
                      <w:rPr>
                        <w:rFonts w:ascii="Calibri"/>
                        <w:color w:val="767171"/>
                        <w:sz w:val="18"/>
                      </w:rPr>
                      <w:t xml:space="preserve">The Beckmead Trust, Monks Orchard Road, </w:t>
                    </w:r>
                    <w:proofErr w:type="spellStart"/>
                    <w:r>
                      <w:rPr>
                        <w:rFonts w:ascii="Calibri"/>
                        <w:color w:val="767171"/>
                        <w:sz w:val="18"/>
                      </w:rPr>
                      <w:t>Beckenham</w:t>
                    </w:r>
                    <w:proofErr w:type="spellEnd"/>
                    <w:r>
                      <w:rPr>
                        <w:rFonts w:ascii="Calibri"/>
                        <w:color w:val="767171"/>
                        <w:sz w:val="18"/>
                      </w:rPr>
                      <w:t>, Kent BR3 3BZ</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0D91" w:rsidRDefault="00AE0D91">
      <w:r>
        <w:separator/>
      </w:r>
    </w:p>
  </w:footnote>
  <w:footnote w:type="continuationSeparator" w:id="0">
    <w:p w:rsidR="00AE0D91" w:rsidRDefault="00AE0D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0A" w:rsidRDefault="0047560A">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60A" w:rsidRDefault="006D5F51">
    <w:pPr>
      <w:pStyle w:val="BodyText"/>
      <w:spacing w:line="14" w:lineRule="auto"/>
      <w:ind w:left="0"/>
      <w:rPr>
        <w:sz w:val="20"/>
      </w:rPr>
    </w:pPr>
    <w:r>
      <w:rPr>
        <w:rFonts w:ascii="Times New Roman" w:eastAsia="Times New Roman" w:hAnsi="Times New Roman" w:cs="Times New Roman"/>
        <w:noProof/>
        <w:sz w:val="24"/>
        <w:szCs w:val="24"/>
        <w:lang w:val="en-GB" w:eastAsia="en-GB"/>
      </w:rPr>
      <w:drawing>
        <wp:anchor distT="0" distB="0" distL="114300" distR="114300" simplePos="0" relativeHeight="251658240" behindDoc="0" locked="0" layoutInCell="1" allowOverlap="1" wp14:anchorId="55A8049B" wp14:editId="29C57FC2">
          <wp:simplePos x="0" y="0"/>
          <wp:positionH relativeFrom="margin">
            <wp:posOffset>2540</wp:posOffset>
          </wp:positionH>
          <wp:positionV relativeFrom="paragraph">
            <wp:posOffset>-109220</wp:posOffset>
          </wp:positionV>
          <wp:extent cx="1347733" cy="1206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he Ropemakers Academy Logo - Colour - Squar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7733" cy="1206500"/>
                  </a:xfrm>
                  <a:prstGeom prst="rect">
                    <a:avLst/>
                  </a:prstGeom>
                </pic:spPr>
              </pic:pic>
            </a:graphicData>
          </a:graphic>
          <wp14:sizeRelH relativeFrom="margin">
            <wp14:pctWidth>0</wp14:pctWidth>
          </wp14:sizeRelH>
          <wp14:sizeRelV relativeFrom="margin">
            <wp14:pctHeight>0</wp14:pctHeight>
          </wp14:sizeRelV>
        </wp:anchor>
      </w:drawing>
    </w:r>
    <w:r w:rsidR="004D6965">
      <w:rPr>
        <w:noProof/>
        <w:lang w:val="en-GB" w:eastAsia="en-GB"/>
      </w:rPr>
      <w:drawing>
        <wp:anchor distT="0" distB="0" distL="0" distR="0" simplePos="0" relativeHeight="251655168" behindDoc="1" locked="0" layoutInCell="1" allowOverlap="1" wp14:anchorId="18C2F9F7" wp14:editId="0AFC2CF6">
          <wp:simplePos x="0" y="0"/>
          <wp:positionH relativeFrom="page">
            <wp:posOffset>4729605</wp:posOffset>
          </wp:positionH>
          <wp:positionV relativeFrom="page">
            <wp:posOffset>511214</wp:posOffset>
          </wp:positionV>
          <wp:extent cx="2379954" cy="1021223"/>
          <wp:effectExtent l="0" t="0" r="0" b="0"/>
          <wp:wrapNone/>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2" cstate="print"/>
                  <a:stretch>
                    <a:fillRect/>
                  </a:stretch>
                </pic:blipFill>
                <pic:spPr>
                  <a:xfrm>
                    <a:off x="0" y="0"/>
                    <a:ext cx="2379954" cy="102122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877A5"/>
    <w:multiLevelType w:val="hybridMultilevel"/>
    <w:tmpl w:val="9296E97A"/>
    <w:lvl w:ilvl="0" w:tplc="08090001">
      <w:start w:val="1"/>
      <w:numFmt w:val="bullet"/>
      <w:lvlText w:val=""/>
      <w:lvlJc w:val="left"/>
      <w:pPr>
        <w:ind w:left="937" w:hanging="360"/>
      </w:pPr>
      <w:rPr>
        <w:rFonts w:ascii="Symbol" w:hAnsi="Symbol" w:hint="default"/>
      </w:rPr>
    </w:lvl>
    <w:lvl w:ilvl="1" w:tplc="08090003" w:tentative="1">
      <w:start w:val="1"/>
      <w:numFmt w:val="bullet"/>
      <w:lvlText w:val="o"/>
      <w:lvlJc w:val="left"/>
      <w:pPr>
        <w:ind w:left="1657" w:hanging="360"/>
      </w:pPr>
      <w:rPr>
        <w:rFonts w:ascii="Courier New" w:hAnsi="Courier New" w:cs="Courier New" w:hint="default"/>
      </w:rPr>
    </w:lvl>
    <w:lvl w:ilvl="2" w:tplc="08090005" w:tentative="1">
      <w:start w:val="1"/>
      <w:numFmt w:val="bullet"/>
      <w:lvlText w:val=""/>
      <w:lvlJc w:val="left"/>
      <w:pPr>
        <w:ind w:left="2377" w:hanging="360"/>
      </w:pPr>
      <w:rPr>
        <w:rFonts w:ascii="Wingdings" w:hAnsi="Wingdings" w:hint="default"/>
      </w:rPr>
    </w:lvl>
    <w:lvl w:ilvl="3" w:tplc="08090001" w:tentative="1">
      <w:start w:val="1"/>
      <w:numFmt w:val="bullet"/>
      <w:lvlText w:val=""/>
      <w:lvlJc w:val="left"/>
      <w:pPr>
        <w:ind w:left="3097" w:hanging="360"/>
      </w:pPr>
      <w:rPr>
        <w:rFonts w:ascii="Symbol" w:hAnsi="Symbol" w:hint="default"/>
      </w:rPr>
    </w:lvl>
    <w:lvl w:ilvl="4" w:tplc="08090003" w:tentative="1">
      <w:start w:val="1"/>
      <w:numFmt w:val="bullet"/>
      <w:lvlText w:val="o"/>
      <w:lvlJc w:val="left"/>
      <w:pPr>
        <w:ind w:left="3817" w:hanging="360"/>
      </w:pPr>
      <w:rPr>
        <w:rFonts w:ascii="Courier New" w:hAnsi="Courier New" w:cs="Courier New" w:hint="default"/>
      </w:rPr>
    </w:lvl>
    <w:lvl w:ilvl="5" w:tplc="08090005" w:tentative="1">
      <w:start w:val="1"/>
      <w:numFmt w:val="bullet"/>
      <w:lvlText w:val=""/>
      <w:lvlJc w:val="left"/>
      <w:pPr>
        <w:ind w:left="4537" w:hanging="360"/>
      </w:pPr>
      <w:rPr>
        <w:rFonts w:ascii="Wingdings" w:hAnsi="Wingdings" w:hint="default"/>
      </w:rPr>
    </w:lvl>
    <w:lvl w:ilvl="6" w:tplc="08090001" w:tentative="1">
      <w:start w:val="1"/>
      <w:numFmt w:val="bullet"/>
      <w:lvlText w:val=""/>
      <w:lvlJc w:val="left"/>
      <w:pPr>
        <w:ind w:left="5257" w:hanging="360"/>
      </w:pPr>
      <w:rPr>
        <w:rFonts w:ascii="Symbol" w:hAnsi="Symbol" w:hint="default"/>
      </w:rPr>
    </w:lvl>
    <w:lvl w:ilvl="7" w:tplc="08090003" w:tentative="1">
      <w:start w:val="1"/>
      <w:numFmt w:val="bullet"/>
      <w:lvlText w:val="o"/>
      <w:lvlJc w:val="left"/>
      <w:pPr>
        <w:ind w:left="5977" w:hanging="360"/>
      </w:pPr>
      <w:rPr>
        <w:rFonts w:ascii="Courier New" w:hAnsi="Courier New" w:cs="Courier New" w:hint="default"/>
      </w:rPr>
    </w:lvl>
    <w:lvl w:ilvl="8" w:tplc="08090005" w:tentative="1">
      <w:start w:val="1"/>
      <w:numFmt w:val="bullet"/>
      <w:lvlText w:val=""/>
      <w:lvlJc w:val="left"/>
      <w:pPr>
        <w:ind w:left="6697" w:hanging="360"/>
      </w:pPr>
      <w:rPr>
        <w:rFonts w:ascii="Wingdings" w:hAnsi="Wingdings" w:hint="default"/>
      </w:rPr>
    </w:lvl>
  </w:abstractNum>
  <w:abstractNum w:abstractNumId="1" w15:restartNumberingAfterBreak="0">
    <w:nsid w:val="33F275D8"/>
    <w:multiLevelType w:val="hybridMultilevel"/>
    <w:tmpl w:val="3EEC55A8"/>
    <w:lvl w:ilvl="0" w:tplc="9CBC686C">
      <w:start w:val="1"/>
      <w:numFmt w:val="decimal"/>
      <w:lvlText w:val="%1."/>
      <w:lvlJc w:val="left"/>
      <w:pPr>
        <w:ind w:left="457" w:hanging="240"/>
      </w:pPr>
      <w:rPr>
        <w:rFonts w:ascii="Calibri" w:eastAsia="Calibri" w:hAnsi="Calibri" w:cs="Calibri" w:hint="default"/>
        <w:b/>
        <w:bCs/>
        <w:i/>
        <w:spacing w:val="-1"/>
        <w:w w:val="100"/>
        <w:sz w:val="24"/>
        <w:szCs w:val="24"/>
      </w:rPr>
    </w:lvl>
    <w:lvl w:ilvl="1" w:tplc="8960B610">
      <w:numFmt w:val="bullet"/>
      <w:lvlText w:val="•"/>
      <w:lvlJc w:val="left"/>
      <w:pPr>
        <w:ind w:left="1390" w:hanging="240"/>
      </w:pPr>
      <w:rPr>
        <w:rFonts w:hint="default"/>
      </w:rPr>
    </w:lvl>
    <w:lvl w:ilvl="2" w:tplc="313E670A">
      <w:numFmt w:val="bullet"/>
      <w:lvlText w:val="•"/>
      <w:lvlJc w:val="left"/>
      <w:pPr>
        <w:ind w:left="2321" w:hanging="240"/>
      </w:pPr>
      <w:rPr>
        <w:rFonts w:hint="default"/>
      </w:rPr>
    </w:lvl>
    <w:lvl w:ilvl="3" w:tplc="5F26CE52">
      <w:numFmt w:val="bullet"/>
      <w:lvlText w:val="•"/>
      <w:lvlJc w:val="left"/>
      <w:pPr>
        <w:ind w:left="3251" w:hanging="240"/>
      </w:pPr>
      <w:rPr>
        <w:rFonts w:hint="default"/>
      </w:rPr>
    </w:lvl>
    <w:lvl w:ilvl="4" w:tplc="DE0AE2B8">
      <w:numFmt w:val="bullet"/>
      <w:lvlText w:val="•"/>
      <w:lvlJc w:val="left"/>
      <w:pPr>
        <w:ind w:left="4182" w:hanging="240"/>
      </w:pPr>
      <w:rPr>
        <w:rFonts w:hint="default"/>
      </w:rPr>
    </w:lvl>
    <w:lvl w:ilvl="5" w:tplc="6B90F968">
      <w:numFmt w:val="bullet"/>
      <w:lvlText w:val="•"/>
      <w:lvlJc w:val="left"/>
      <w:pPr>
        <w:ind w:left="5112" w:hanging="240"/>
      </w:pPr>
      <w:rPr>
        <w:rFonts w:hint="default"/>
      </w:rPr>
    </w:lvl>
    <w:lvl w:ilvl="6" w:tplc="94006F3E">
      <w:numFmt w:val="bullet"/>
      <w:lvlText w:val="•"/>
      <w:lvlJc w:val="left"/>
      <w:pPr>
        <w:ind w:left="6043" w:hanging="240"/>
      </w:pPr>
      <w:rPr>
        <w:rFonts w:hint="default"/>
      </w:rPr>
    </w:lvl>
    <w:lvl w:ilvl="7" w:tplc="1F764186">
      <w:numFmt w:val="bullet"/>
      <w:lvlText w:val="•"/>
      <w:lvlJc w:val="left"/>
      <w:pPr>
        <w:ind w:left="6973" w:hanging="240"/>
      </w:pPr>
      <w:rPr>
        <w:rFonts w:hint="default"/>
      </w:rPr>
    </w:lvl>
    <w:lvl w:ilvl="8" w:tplc="087E44A2">
      <w:numFmt w:val="bullet"/>
      <w:lvlText w:val="•"/>
      <w:lvlJc w:val="left"/>
      <w:pPr>
        <w:ind w:left="7904" w:hanging="240"/>
      </w:pPr>
      <w:rPr>
        <w:rFonts w:hint="default"/>
      </w:rPr>
    </w:lvl>
  </w:abstractNum>
  <w:abstractNum w:abstractNumId="2" w15:restartNumberingAfterBreak="0">
    <w:nsid w:val="46295579"/>
    <w:multiLevelType w:val="hybridMultilevel"/>
    <w:tmpl w:val="90E4F2AA"/>
    <w:lvl w:ilvl="0" w:tplc="EA184672">
      <w:start w:val="1"/>
      <w:numFmt w:val="decimal"/>
      <w:lvlText w:val="%1."/>
      <w:lvlJc w:val="left"/>
      <w:pPr>
        <w:ind w:left="529" w:hanging="312"/>
      </w:pPr>
      <w:rPr>
        <w:rFonts w:ascii="Arial" w:eastAsia="Arial" w:hAnsi="Arial" w:cs="Arial" w:hint="default"/>
        <w:b/>
        <w:bCs/>
        <w:w w:val="99"/>
        <w:sz w:val="28"/>
        <w:szCs w:val="28"/>
      </w:rPr>
    </w:lvl>
    <w:lvl w:ilvl="1" w:tplc="FC3E81BC">
      <w:numFmt w:val="bullet"/>
      <w:lvlText w:val=""/>
      <w:lvlJc w:val="left"/>
      <w:pPr>
        <w:ind w:left="937" w:hanging="360"/>
      </w:pPr>
      <w:rPr>
        <w:rFonts w:ascii="Symbol" w:eastAsia="Symbol" w:hAnsi="Symbol" w:cs="Symbol" w:hint="default"/>
        <w:w w:val="100"/>
        <w:sz w:val="22"/>
        <w:szCs w:val="22"/>
      </w:rPr>
    </w:lvl>
    <w:lvl w:ilvl="2" w:tplc="791EE514">
      <w:numFmt w:val="bullet"/>
      <w:lvlText w:val="•"/>
      <w:lvlJc w:val="left"/>
      <w:pPr>
        <w:ind w:left="1920" w:hanging="360"/>
      </w:pPr>
      <w:rPr>
        <w:rFonts w:hint="default"/>
      </w:rPr>
    </w:lvl>
    <w:lvl w:ilvl="3" w:tplc="E370E4D8">
      <w:numFmt w:val="bullet"/>
      <w:lvlText w:val="•"/>
      <w:lvlJc w:val="left"/>
      <w:pPr>
        <w:ind w:left="2901" w:hanging="360"/>
      </w:pPr>
      <w:rPr>
        <w:rFonts w:hint="default"/>
      </w:rPr>
    </w:lvl>
    <w:lvl w:ilvl="4" w:tplc="D46A890E">
      <w:numFmt w:val="bullet"/>
      <w:lvlText w:val="•"/>
      <w:lvlJc w:val="left"/>
      <w:pPr>
        <w:ind w:left="3881" w:hanging="360"/>
      </w:pPr>
      <w:rPr>
        <w:rFonts w:hint="default"/>
      </w:rPr>
    </w:lvl>
    <w:lvl w:ilvl="5" w:tplc="76B46250">
      <w:numFmt w:val="bullet"/>
      <w:lvlText w:val="•"/>
      <w:lvlJc w:val="left"/>
      <w:pPr>
        <w:ind w:left="4862" w:hanging="360"/>
      </w:pPr>
      <w:rPr>
        <w:rFonts w:hint="default"/>
      </w:rPr>
    </w:lvl>
    <w:lvl w:ilvl="6" w:tplc="08EA39AA">
      <w:numFmt w:val="bullet"/>
      <w:lvlText w:val="•"/>
      <w:lvlJc w:val="left"/>
      <w:pPr>
        <w:ind w:left="5843" w:hanging="360"/>
      </w:pPr>
      <w:rPr>
        <w:rFonts w:hint="default"/>
      </w:rPr>
    </w:lvl>
    <w:lvl w:ilvl="7" w:tplc="91FACF26">
      <w:numFmt w:val="bullet"/>
      <w:lvlText w:val="•"/>
      <w:lvlJc w:val="left"/>
      <w:pPr>
        <w:ind w:left="6823" w:hanging="360"/>
      </w:pPr>
      <w:rPr>
        <w:rFonts w:hint="default"/>
      </w:rPr>
    </w:lvl>
    <w:lvl w:ilvl="8" w:tplc="9F728712">
      <w:numFmt w:val="bullet"/>
      <w:lvlText w:val="•"/>
      <w:lvlJc w:val="left"/>
      <w:pPr>
        <w:ind w:left="7804" w:hanging="360"/>
      </w:pPr>
      <w:rPr>
        <w:rFonts w:hint="default"/>
      </w:rPr>
    </w:lvl>
  </w:abstractNum>
  <w:abstractNum w:abstractNumId="3" w15:restartNumberingAfterBreak="0">
    <w:nsid w:val="48454530"/>
    <w:multiLevelType w:val="hybridMultilevel"/>
    <w:tmpl w:val="1FBE1A26"/>
    <w:lvl w:ilvl="0" w:tplc="7C6A894C">
      <w:start w:val="4"/>
      <w:numFmt w:val="decimal"/>
      <w:lvlText w:val="%1."/>
      <w:lvlJc w:val="left"/>
      <w:pPr>
        <w:ind w:left="529" w:hanging="312"/>
      </w:pPr>
      <w:rPr>
        <w:rFonts w:ascii="Arial" w:eastAsia="Arial" w:hAnsi="Arial" w:cs="Arial" w:hint="default"/>
        <w:b/>
        <w:bCs/>
        <w:w w:val="99"/>
        <w:sz w:val="28"/>
        <w:szCs w:val="28"/>
      </w:rPr>
    </w:lvl>
    <w:lvl w:ilvl="1" w:tplc="AB8A3D4C">
      <w:numFmt w:val="bullet"/>
      <w:lvlText w:val=""/>
      <w:lvlJc w:val="left"/>
      <w:pPr>
        <w:ind w:left="937" w:hanging="360"/>
      </w:pPr>
      <w:rPr>
        <w:rFonts w:ascii="Symbol" w:eastAsia="Symbol" w:hAnsi="Symbol" w:cs="Symbol" w:hint="default"/>
        <w:w w:val="100"/>
        <w:sz w:val="22"/>
        <w:szCs w:val="22"/>
      </w:rPr>
    </w:lvl>
    <w:lvl w:ilvl="2" w:tplc="0EF2BA42">
      <w:numFmt w:val="bullet"/>
      <w:lvlText w:val="•"/>
      <w:lvlJc w:val="left"/>
      <w:pPr>
        <w:ind w:left="1920" w:hanging="360"/>
      </w:pPr>
      <w:rPr>
        <w:rFonts w:hint="default"/>
      </w:rPr>
    </w:lvl>
    <w:lvl w:ilvl="3" w:tplc="0DE8FCAC">
      <w:numFmt w:val="bullet"/>
      <w:lvlText w:val="•"/>
      <w:lvlJc w:val="left"/>
      <w:pPr>
        <w:ind w:left="2901" w:hanging="360"/>
      </w:pPr>
      <w:rPr>
        <w:rFonts w:hint="default"/>
      </w:rPr>
    </w:lvl>
    <w:lvl w:ilvl="4" w:tplc="092425E8">
      <w:numFmt w:val="bullet"/>
      <w:lvlText w:val="•"/>
      <w:lvlJc w:val="left"/>
      <w:pPr>
        <w:ind w:left="3881" w:hanging="360"/>
      </w:pPr>
      <w:rPr>
        <w:rFonts w:hint="default"/>
      </w:rPr>
    </w:lvl>
    <w:lvl w:ilvl="5" w:tplc="78249842">
      <w:numFmt w:val="bullet"/>
      <w:lvlText w:val="•"/>
      <w:lvlJc w:val="left"/>
      <w:pPr>
        <w:ind w:left="4862" w:hanging="360"/>
      </w:pPr>
      <w:rPr>
        <w:rFonts w:hint="default"/>
      </w:rPr>
    </w:lvl>
    <w:lvl w:ilvl="6" w:tplc="982A219A">
      <w:numFmt w:val="bullet"/>
      <w:lvlText w:val="•"/>
      <w:lvlJc w:val="left"/>
      <w:pPr>
        <w:ind w:left="5843" w:hanging="360"/>
      </w:pPr>
      <w:rPr>
        <w:rFonts w:hint="default"/>
      </w:rPr>
    </w:lvl>
    <w:lvl w:ilvl="7" w:tplc="595E00C6">
      <w:numFmt w:val="bullet"/>
      <w:lvlText w:val="•"/>
      <w:lvlJc w:val="left"/>
      <w:pPr>
        <w:ind w:left="6823" w:hanging="360"/>
      </w:pPr>
      <w:rPr>
        <w:rFonts w:hint="default"/>
      </w:rPr>
    </w:lvl>
    <w:lvl w:ilvl="8" w:tplc="125CB240">
      <w:numFmt w:val="bullet"/>
      <w:lvlText w:val="•"/>
      <w:lvlJc w:val="left"/>
      <w:pPr>
        <w:ind w:left="7804" w:hanging="360"/>
      </w:pPr>
      <w:rPr>
        <w:rFonts w:hint="default"/>
      </w:rPr>
    </w:lvl>
  </w:abstractNum>
  <w:abstractNum w:abstractNumId="4" w15:restartNumberingAfterBreak="0">
    <w:nsid w:val="64822C30"/>
    <w:multiLevelType w:val="hybridMultilevel"/>
    <w:tmpl w:val="BDC4BBD4"/>
    <w:lvl w:ilvl="0" w:tplc="395CEF16">
      <w:start w:val="1"/>
      <w:numFmt w:val="decimal"/>
      <w:lvlText w:val="%1."/>
      <w:lvlJc w:val="left"/>
      <w:pPr>
        <w:ind w:left="217" w:hanging="245"/>
      </w:pPr>
      <w:rPr>
        <w:rFonts w:ascii="Arial" w:eastAsia="Arial" w:hAnsi="Arial" w:cs="Arial" w:hint="default"/>
        <w:spacing w:val="-1"/>
        <w:w w:val="100"/>
        <w:sz w:val="22"/>
        <w:szCs w:val="22"/>
      </w:rPr>
    </w:lvl>
    <w:lvl w:ilvl="1" w:tplc="D3AAA018">
      <w:numFmt w:val="bullet"/>
      <w:lvlText w:val="•"/>
      <w:lvlJc w:val="left"/>
      <w:pPr>
        <w:ind w:left="1174" w:hanging="245"/>
      </w:pPr>
      <w:rPr>
        <w:rFonts w:hint="default"/>
      </w:rPr>
    </w:lvl>
    <w:lvl w:ilvl="2" w:tplc="3ACAADFE">
      <w:numFmt w:val="bullet"/>
      <w:lvlText w:val="•"/>
      <w:lvlJc w:val="left"/>
      <w:pPr>
        <w:ind w:left="2129" w:hanging="245"/>
      </w:pPr>
      <w:rPr>
        <w:rFonts w:hint="default"/>
      </w:rPr>
    </w:lvl>
    <w:lvl w:ilvl="3" w:tplc="669269C8">
      <w:numFmt w:val="bullet"/>
      <w:lvlText w:val="•"/>
      <w:lvlJc w:val="left"/>
      <w:pPr>
        <w:ind w:left="3083" w:hanging="245"/>
      </w:pPr>
      <w:rPr>
        <w:rFonts w:hint="default"/>
      </w:rPr>
    </w:lvl>
    <w:lvl w:ilvl="4" w:tplc="76284BB8">
      <w:numFmt w:val="bullet"/>
      <w:lvlText w:val="•"/>
      <w:lvlJc w:val="left"/>
      <w:pPr>
        <w:ind w:left="4038" w:hanging="245"/>
      </w:pPr>
      <w:rPr>
        <w:rFonts w:hint="default"/>
      </w:rPr>
    </w:lvl>
    <w:lvl w:ilvl="5" w:tplc="4CB4EF6A">
      <w:numFmt w:val="bullet"/>
      <w:lvlText w:val="•"/>
      <w:lvlJc w:val="left"/>
      <w:pPr>
        <w:ind w:left="4992" w:hanging="245"/>
      </w:pPr>
      <w:rPr>
        <w:rFonts w:hint="default"/>
      </w:rPr>
    </w:lvl>
    <w:lvl w:ilvl="6" w:tplc="4748EBCA">
      <w:numFmt w:val="bullet"/>
      <w:lvlText w:val="•"/>
      <w:lvlJc w:val="left"/>
      <w:pPr>
        <w:ind w:left="5947" w:hanging="245"/>
      </w:pPr>
      <w:rPr>
        <w:rFonts w:hint="default"/>
      </w:rPr>
    </w:lvl>
    <w:lvl w:ilvl="7" w:tplc="5B2C371A">
      <w:numFmt w:val="bullet"/>
      <w:lvlText w:val="•"/>
      <w:lvlJc w:val="left"/>
      <w:pPr>
        <w:ind w:left="6901" w:hanging="245"/>
      </w:pPr>
      <w:rPr>
        <w:rFonts w:hint="default"/>
      </w:rPr>
    </w:lvl>
    <w:lvl w:ilvl="8" w:tplc="6C5C762A">
      <w:numFmt w:val="bullet"/>
      <w:lvlText w:val="•"/>
      <w:lvlJc w:val="left"/>
      <w:pPr>
        <w:ind w:left="7856" w:hanging="245"/>
      </w:pPr>
      <w:rPr>
        <w:rFonts w:hint="default"/>
      </w:rPr>
    </w:lvl>
  </w:abstractNum>
  <w:abstractNum w:abstractNumId="5" w15:restartNumberingAfterBreak="0">
    <w:nsid w:val="65D447AB"/>
    <w:multiLevelType w:val="multilevel"/>
    <w:tmpl w:val="7F208674"/>
    <w:lvl w:ilvl="0">
      <w:start w:val="6"/>
      <w:numFmt w:val="decimal"/>
      <w:lvlText w:val="%1"/>
      <w:lvlJc w:val="left"/>
      <w:pPr>
        <w:ind w:left="584" w:hanging="367"/>
      </w:pPr>
      <w:rPr>
        <w:rFonts w:hint="default"/>
      </w:rPr>
    </w:lvl>
    <w:lvl w:ilvl="1">
      <w:start w:val="1"/>
      <w:numFmt w:val="decimal"/>
      <w:lvlText w:val="%1.%2"/>
      <w:lvlJc w:val="left"/>
      <w:pPr>
        <w:ind w:left="584" w:hanging="367"/>
      </w:pPr>
      <w:rPr>
        <w:rFonts w:ascii="Arial" w:eastAsia="Arial" w:hAnsi="Arial" w:cs="Arial" w:hint="default"/>
        <w:b/>
        <w:bCs/>
        <w:spacing w:val="-1"/>
        <w:w w:val="100"/>
        <w:sz w:val="22"/>
        <w:szCs w:val="22"/>
      </w:rPr>
    </w:lvl>
    <w:lvl w:ilvl="2">
      <w:numFmt w:val="bullet"/>
      <w:lvlText w:val=""/>
      <w:lvlJc w:val="left"/>
      <w:pPr>
        <w:ind w:left="937" w:hanging="360"/>
      </w:pPr>
      <w:rPr>
        <w:rFonts w:ascii="Symbol" w:eastAsia="Symbol" w:hAnsi="Symbol" w:cs="Symbol" w:hint="default"/>
        <w:w w:val="100"/>
        <w:sz w:val="22"/>
        <w:szCs w:val="22"/>
      </w:rPr>
    </w:lvl>
    <w:lvl w:ilvl="3">
      <w:numFmt w:val="bullet"/>
      <w:lvlText w:val="•"/>
      <w:lvlJc w:val="left"/>
      <w:pPr>
        <w:ind w:left="2901" w:hanging="360"/>
      </w:pPr>
      <w:rPr>
        <w:rFonts w:hint="default"/>
      </w:rPr>
    </w:lvl>
    <w:lvl w:ilvl="4">
      <w:numFmt w:val="bullet"/>
      <w:lvlText w:val="•"/>
      <w:lvlJc w:val="left"/>
      <w:pPr>
        <w:ind w:left="3881" w:hanging="360"/>
      </w:pPr>
      <w:rPr>
        <w:rFonts w:hint="default"/>
      </w:rPr>
    </w:lvl>
    <w:lvl w:ilvl="5">
      <w:numFmt w:val="bullet"/>
      <w:lvlText w:val="•"/>
      <w:lvlJc w:val="left"/>
      <w:pPr>
        <w:ind w:left="4862" w:hanging="360"/>
      </w:pPr>
      <w:rPr>
        <w:rFonts w:hint="default"/>
      </w:rPr>
    </w:lvl>
    <w:lvl w:ilvl="6">
      <w:numFmt w:val="bullet"/>
      <w:lvlText w:val="•"/>
      <w:lvlJc w:val="left"/>
      <w:pPr>
        <w:ind w:left="5843" w:hanging="360"/>
      </w:pPr>
      <w:rPr>
        <w:rFonts w:hint="default"/>
      </w:rPr>
    </w:lvl>
    <w:lvl w:ilvl="7">
      <w:numFmt w:val="bullet"/>
      <w:lvlText w:val="•"/>
      <w:lvlJc w:val="left"/>
      <w:pPr>
        <w:ind w:left="6823" w:hanging="360"/>
      </w:pPr>
      <w:rPr>
        <w:rFonts w:hint="default"/>
      </w:rPr>
    </w:lvl>
    <w:lvl w:ilvl="8">
      <w:numFmt w:val="bullet"/>
      <w:lvlText w:val="•"/>
      <w:lvlJc w:val="left"/>
      <w:pPr>
        <w:ind w:left="7804" w:hanging="360"/>
      </w:pPr>
      <w:rPr>
        <w:rFont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60A"/>
    <w:rsid w:val="001B672A"/>
    <w:rsid w:val="0047560A"/>
    <w:rsid w:val="004D6965"/>
    <w:rsid w:val="006D5F51"/>
    <w:rsid w:val="009950DB"/>
    <w:rsid w:val="00AE0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E60B7D"/>
  <w15:docId w15:val="{48103553-5BEF-4B4D-8DBA-E232B249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529" w:hanging="313"/>
      <w:outlineLvl w:val="0"/>
    </w:pPr>
    <w:rPr>
      <w:b/>
      <w:bCs/>
      <w:sz w:val="28"/>
      <w:szCs w:val="28"/>
    </w:rPr>
  </w:style>
  <w:style w:type="paragraph" w:styleId="Heading2">
    <w:name w:val="heading 2"/>
    <w:basedOn w:val="Normal"/>
    <w:uiPriority w:val="1"/>
    <w:qFormat/>
    <w:pPr>
      <w:ind w:left="584" w:hanging="36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457" w:hanging="241"/>
    </w:pPr>
    <w:rPr>
      <w:rFonts w:ascii="Calibri" w:eastAsia="Calibri" w:hAnsi="Calibri" w:cs="Calibri"/>
      <w:b/>
      <w:bCs/>
      <w:i/>
      <w:sz w:val="24"/>
      <w:szCs w:val="24"/>
    </w:rPr>
  </w:style>
  <w:style w:type="paragraph" w:styleId="BodyText">
    <w:name w:val="Body Text"/>
    <w:basedOn w:val="Normal"/>
    <w:uiPriority w:val="1"/>
    <w:qFormat/>
    <w:pPr>
      <w:ind w:left="217"/>
    </w:pPr>
  </w:style>
  <w:style w:type="paragraph" w:styleId="ListParagraph">
    <w:name w:val="List Paragraph"/>
    <w:basedOn w:val="Normal"/>
    <w:uiPriority w:val="1"/>
    <w:qFormat/>
    <w:pPr>
      <w:ind w:left="937" w:hanging="361"/>
    </w:pPr>
  </w:style>
  <w:style w:type="paragraph" w:customStyle="1" w:styleId="TableParagraph">
    <w:name w:val="Table Paragraph"/>
    <w:basedOn w:val="Normal"/>
    <w:uiPriority w:val="1"/>
    <w:qFormat/>
    <w:pPr>
      <w:spacing w:before="120"/>
      <w:ind w:left="105"/>
    </w:pPr>
  </w:style>
  <w:style w:type="paragraph" w:styleId="Header">
    <w:name w:val="header"/>
    <w:basedOn w:val="Normal"/>
    <w:link w:val="HeaderChar"/>
    <w:uiPriority w:val="99"/>
    <w:unhideWhenUsed/>
    <w:rsid w:val="009950DB"/>
    <w:pPr>
      <w:tabs>
        <w:tab w:val="center" w:pos="4513"/>
        <w:tab w:val="right" w:pos="9026"/>
      </w:tabs>
    </w:pPr>
  </w:style>
  <w:style w:type="character" w:customStyle="1" w:styleId="HeaderChar">
    <w:name w:val="Header Char"/>
    <w:basedOn w:val="DefaultParagraphFont"/>
    <w:link w:val="Header"/>
    <w:uiPriority w:val="99"/>
    <w:rsid w:val="009950DB"/>
    <w:rPr>
      <w:rFonts w:ascii="Arial" w:eastAsia="Arial" w:hAnsi="Arial" w:cs="Arial"/>
    </w:rPr>
  </w:style>
  <w:style w:type="paragraph" w:styleId="Footer">
    <w:name w:val="footer"/>
    <w:basedOn w:val="Normal"/>
    <w:link w:val="FooterChar"/>
    <w:uiPriority w:val="99"/>
    <w:unhideWhenUsed/>
    <w:rsid w:val="009950DB"/>
    <w:pPr>
      <w:tabs>
        <w:tab w:val="center" w:pos="4513"/>
        <w:tab w:val="right" w:pos="9026"/>
      </w:tabs>
    </w:pPr>
  </w:style>
  <w:style w:type="character" w:customStyle="1" w:styleId="FooterChar">
    <w:name w:val="Footer Char"/>
    <w:basedOn w:val="DefaultParagraphFont"/>
    <w:link w:val="Footer"/>
    <w:uiPriority w:val="99"/>
    <w:rsid w:val="009950DB"/>
    <w:rPr>
      <w:rFonts w:ascii="Arial" w:eastAsia="Arial" w:hAnsi="Arial" w:cs="Arial"/>
    </w:rPr>
  </w:style>
  <w:style w:type="character" w:styleId="Hyperlink">
    <w:name w:val="Hyperlink"/>
    <w:basedOn w:val="DefaultParagraphFont"/>
    <w:uiPriority w:val="99"/>
    <w:semiHidden/>
    <w:unhideWhenUsed/>
    <w:rsid w:val="001B67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overnment/news/relationships-education-relationships-and-sex-education-rse-and-health-education-faq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beckmeadtrust.org.uk/" TargetMode="External"/><Relationship Id="rId2" Type="http://schemas.openxmlformats.org/officeDocument/2006/relationships/hyperlink" Target="mailto:info@beckmeadtrust.org.uk" TargetMode="External"/><Relationship Id="rId1" Type="http://schemas.openxmlformats.org/officeDocument/2006/relationships/hyperlink" Target="http://www.beckmeadtrust.org.uk/" TargetMode="External"/><Relationship Id="rId4" Type="http://schemas.openxmlformats.org/officeDocument/2006/relationships/hyperlink" Target="mailto:info@beckmeadtrust.org.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1283</Words>
  <Characters>7319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Microsoft Word - Sex Education Policy, The Beckmead Trust, Final Draft..docx</vt:lpstr>
    </vt:vector>
  </TitlesOfParts>
  <Company/>
  <LinksUpToDate>false</LinksUpToDate>
  <CharactersWithSpaces>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Sex Education Policy, The Beckmead Trust, Final Draft..docx</dc:title>
  <dc:creator>offsite</dc:creator>
  <cp:lastModifiedBy>Simon Hawthorne</cp:lastModifiedBy>
  <cp:revision>2</cp:revision>
  <dcterms:created xsi:type="dcterms:W3CDTF">2020-06-30T17:22:00Z</dcterms:created>
  <dcterms:modified xsi:type="dcterms:W3CDTF">2020-06-30T17:22:00Z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2019-11-08T00:00:00Z</vt:filetime>
  </property>
  <property fmtid="{D5CDD505-2E9C-101B-9397-08002B2CF9AE}" pid="3" name="Creator">
    <vt:lpwstr>Word</vt:lpwstr>
  </property>
  <property fmtid="{D5CDD505-2E9C-101B-9397-08002B2CF9AE}" pid="4" name="LastSaved">
    <vt:filetime>2020-06-24T00:00:00Z</vt:filetime>
  </property>
</Properties>
</file>