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40" w:lineRule="auto"/>
        <w:rPr>
          <w:rFonts w:ascii="Century Gothic" w:cs="Century Gothic" w:eastAsia="Century Gothic" w:hAnsi="Century Gothic"/>
          <w:sz w:val="20"/>
          <w:szCs w:val="20"/>
        </w:rPr>
      </w:pPr>
      <w:r w:rsidDel="00000000" w:rsidR="00000000" w:rsidRPr="00000000">
        <w:rPr>
          <w:b w:val="1"/>
          <w:bCs w:val="1"/>
          <w:color w:val="000000"/>
          <w:sz w:val="72"/>
          <w:szCs w:val="72"/>
          <w:rtl w:val="0"/>
        </w:rPr>
        <w:t xml:space="preserve">        </w:t>
        <w:tab/>
      </w:r>
      <w:r w:rsidDel="00000000" w:rsidR="00000000" w:rsidRPr="00000000">
        <w:rPr>
          <w:b w:val="1"/>
          <w:bCs w:val="1"/>
          <w:sz w:val="72"/>
          <w:szCs w:val="72"/>
          <w:rtl w:val="0"/>
        </w:rPr>
        <w:tab/>
      </w:r>
      <w:r w:rsidDel="00000000" w:rsidR="00000000" w:rsidRPr="00000000">
        <w:rPr>
          <w:b w:val="1"/>
          <w:bCs w:val="1"/>
          <w:sz w:val="72"/>
          <w:szCs w:val="72"/>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0"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1094700" y="5439850"/>
                            <a:ext cx="4365000" cy="1169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Equality information and objectives </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0"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widowControl w:val="0"/>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3">
      <w:pPr>
        <w:widowControl w:val="0"/>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4">
      <w:pPr>
        <w:widowControl w:val="0"/>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5">
      <w:pPr>
        <w:widowControl w:val="0"/>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6">
      <w:pPr>
        <w:widowControl w:val="0"/>
        <w:spacing w:line="240" w:lineRule="auto"/>
        <w:rPr>
          <w:rFonts w:ascii="Century Gothic" w:cs="Century Gothic" w:eastAsia="Century Gothic" w:hAnsi="Century Gothic"/>
          <w:sz w:val="20"/>
          <w:szCs w:val="20"/>
        </w:rPr>
      </w:pPr>
      <w:r w:rsidDel="00000000" w:rsidR="00000000" w:rsidRPr="00000000">
        <w:rPr>
          <w:rtl w:val="0"/>
        </w:rPr>
      </w:r>
    </w:p>
    <w:tbl>
      <w:tblPr>
        <w:tblStyle w:val="Table1"/>
        <w:tblW w:w="6345.0" w:type="dxa"/>
        <w:jc w:val="left"/>
        <w:tblInd w:w="129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10"/>
        <w:gridCol w:w="3735"/>
        <w:tblGridChange w:id="0">
          <w:tblGrid>
            <w:gridCol w:w="2610"/>
            <w:gridCol w:w="3735"/>
          </w:tblGrid>
        </w:tblGridChange>
      </w:tblGrid>
      <w:tr>
        <w:trPr>
          <w:cantSplit w:val="0"/>
          <w:trHeight w:val="630" w:hRule="atLeast"/>
          <w:tblHeader w:val="0"/>
        </w:trPr>
        <w:tc>
          <w:tcPr/>
          <w:p w:rsidR="00000000" w:rsidDel="00000000" w:rsidP="00000000" w:rsidRDefault="00000000" w:rsidRPr="00000000" w14:paraId="00000007">
            <w:pPr>
              <w:spacing w:before="119" w:line="240" w:lineRule="auto"/>
              <w:ind w:left="110"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Name of Policy</w:t>
            </w:r>
          </w:p>
        </w:tc>
        <w:tc>
          <w:tcPr/>
          <w:p w:rsidR="00000000" w:rsidDel="00000000" w:rsidP="00000000" w:rsidRDefault="00000000" w:rsidRPr="00000000" w14:paraId="00000008">
            <w:pPr>
              <w:spacing w:before="119" w:line="240" w:lineRule="auto"/>
              <w:ind w:left="105" w:firstLine="0"/>
              <w:rPr>
                <w:rFonts w:ascii="Century Gothic" w:cs="Century Gothic" w:eastAsia="Century Gothic" w:hAnsi="Century Gothic"/>
              </w:rPr>
            </w:pPr>
            <w:r w:rsidDel="00000000" w:rsidR="00000000" w:rsidRPr="00000000">
              <w:rPr>
                <w:rtl w:val="0"/>
              </w:rPr>
              <w:t xml:space="preserve">Equality Information and Objectives </w:t>
            </w:r>
            <w:r w:rsidDel="00000000" w:rsidR="00000000" w:rsidRPr="00000000">
              <w:rPr>
                <w:rtl w:val="0"/>
              </w:rPr>
            </w:r>
          </w:p>
        </w:tc>
      </w:tr>
      <w:tr>
        <w:trPr>
          <w:cantSplit w:val="0"/>
          <w:trHeight w:val="388.0165392287234" w:hRule="atLeast"/>
          <w:tblHeader w:val="0"/>
        </w:trPr>
        <w:tc>
          <w:tcPr/>
          <w:p w:rsidR="00000000" w:rsidDel="00000000" w:rsidP="00000000" w:rsidRDefault="00000000" w:rsidRPr="00000000" w14:paraId="00000009">
            <w:pPr>
              <w:spacing w:before="120" w:line="240" w:lineRule="auto"/>
              <w:ind w:left="110"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Policy Level</w:t>
            </w:r>
          </w:p>
        </w:tc>
        <w:tc>
          <w:tcPr/>
          <w:p w:rsidR="00000000" w:rsidDel="00000000" w:rsidP="00000000" w:rsidRDefault="00000000" w:rsidRPr="00000000" w14:paraId="0000000A">
            <w:pPr>
              <w:spacing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School</w:t>
            </w:r>
          </w:p>
        </w:tc>
      </w:tr>
      <w:tr>
        <w:trPr>
          <w:cantSplit w:val="0"/>
          <w:trHeight w:val="388.72340425531917" w:hRule="atLeast"/>
          <w:tblHeader w:val="0"/>
        </w:trPr>
        <w:tc>
          <w:tcPr/>
          <w:p w:rsidR="00000000" w:rsidDel="00000000" w:rsidP="00000000" w:rsidRDefault="00000000" w:rsidRPr="00000000" w14:paraId="0000000B">
            <w:pPr>
              <w:spacing w:before="120" w:line="240" w:lineRule="auto"/>
              <w:ind w:left="110"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Date of Issue</w:t>
            </w:r>
          </w:p>
        </w:tc>
        <w:tc>
          <w:tcPr/>
          <w:p w:rsidR="00000000" w:rsidDel="00000000" w:rsidP="00000000" w:rsidRDefault="00000000" w:rsidRPr="00000000" w14:paraId="0000000C">
            <w:pPr>
              <w:spacing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September 2025</w:t>
            </w:r>
          </w:p>
        </w:tc>
      </w:tr>
      <w:tr>
        <w:trPr>
          <w:cantSplit w:val="0"/>
          <w:trHeight w:val="388.0165392287234" w:hRule="atLeast"/>
          <w:tblHeader w:val="0"/>
        </w:trPr>
        <w:tc>
          <w:tcPr/>
          <w:p w:rsidR="00000000" w:rsidDel="00000000" w:rsidP="00000000" w:rsidRDefault="00000000" w:rsidRPr="00000000" w14:paraId="0000000D">
            <w:pPr>
              <w:spacing w:before="120" w:line="240" w:lineRule="auto"/>
              <w:ind w:left="110"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Author</w:t>
            </w:r>
          </w:p>
        </w:tc>
        <w:tc>
          <w:tcPr/>
          <w:p w:rsidR="00000000" w:rsidDel="00000000" w:rsidP="00000000" w:rsidRDefault="00000000" w:rsidRPr="00000000" w14:paraId="0000000E">
            <w:pPr>
              <w:spacing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Samantha Hoyer</w:t>
            </w:r>
          </w:p>
        </w:tc>
      </w:tr>
      <w:tr>
        <w:trPr>
          <w:cantSplit w:val="0"/>
          <w:trHeight w:val="388.0165392287234" w:hRule="atLeast"/>
          <w:tblHeader w:val="0"/>
        </w:trPr>
        <w:tc>
          <w:tcPr/>
          <w:p w:rsidR="00000000" w:rsidDel="00000000" w:rsidP="00000000" w:rsidRDefault="00000000" w:rsidRPr="00000000" w14:paraId="0000000F">
            <w:pPr>
              <w:spacing w:before="120" w:line="240" w:lineRule="auto"/>
              <w:ind w:left="110"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Date of Next Review</w:t>
            </w:r>
          </w:p>
        </w:tc>
        <w:tc>
          <w:tcPr/>
          <w:p w:rsidR="00000000" w:rsidDel="00000000" w:rsidP="00000000" w:rsidRDefault="00000000" w:rsidRPr="00000000" w14:paraId="00000010">
            <w:pPr>
              <w:spacing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September 2026</w:t>
            </w:r>
          </w:p>
        </w:tc>
      </w:tr>
      <w:tr>
        <w:trPr>
          <w:cantSplit w:val="0"/>
          <w:trHeight w:val="388.0165392287234" w:hRule="atLeast"/>
          <w:tblHeader w:val="0"/>
        </w:trPr>
        <w:tc>
          <w:tcPr/>
          <w:p w:rsidR="00000000" w:rsidDel="00000000" w:rsidP="00000000" w:rsidRDefault="00000000" w:rsidRPr="00000000" w14:paraId="00000011">
            <w:pPr>
              <w:spacing w:before="120" w:line="240" w:lineRule="auto"/>
              <w:ind w:left="110"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Signature</w:t>
            </w:r>
          </w:p>
        </w:tc>
        <w:tc>
          <w:tcPr/>
          <w:p w:rsidR="00000000" w:rsidDel="00000000" w:rsidP="00000000" w:rsidRDefault="00000000" w:rsidRPr="00000000" w14:paraId="00000012">
            <w:pPr>
              <w:spacing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Samantha Hoyer</w:t>
            </w:r>
          </w:p>
        </w:tc>
      </w:tr>
      <w:tr>
        <w:trPr>
          <w:cantSplit w:val="0"/>
          <w:trHeight w:val="388.0165392287234" w:hRule="atLeast"/>
          <w:tblHeader w:val="0"/>
        </w:trPr>
        <w:tc>
          <w:tcPr/>
          <w:p w:rsidR="00000000" w:rsidDel="00000000" w:rsidP="00000000" w:rsidRDefault="00000000" w:rsidRPr="00000000" w14:paraId="00000013">
            <w:pPr>
              <w:spacing w:before="120" w:line="240" w:lineRule="auto"/>
              <w:ind w:left="110"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Date of Signature</w:t>
            </w:r>
          </w:p>
        </w:tc>
        <w:tc>
          <w:tcPr/>
          <w:p w:rsidR="00000000" w:rsidDel="00000000" w:rsidP="00000000" w:rsidRDefault="00000000" w:rsidRPr="00000000" w14:paraId="00000014">
            <w:pPr>
              <w:spacing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September 2025</w:t>
            </w:r>
          </w:p>
        </w:tc>
      </w:tr>
    </w:tbl>
    <w:p w:rsidR="00000000" w:rsidDel="00000000" w:rsidP="00000000" w:rsidRDefault="00000000" w:rsidRPr="00000000" w14:paraId="00000015">
      <w:pPr>
        <w:widowControl w:val="0"/>
        <w:spacing w:line="240" w:lineRule="auto"/>
        <w:rPr/>
        <w:sectPr>
          <w:headerReference r:id="rId9" w:type="default"/>
          <w:headerReference r:id="rId10" w:type="first"/>
          <w:footerReference r:id="rId11" w:type="default"/>
          <w:footerReference r:id="rId12" w:type="first"/>
          <w:pgSz w:h="16820" w:w="11900" w:orient="portrait"/>
          <w:pgMar w:bottom="755" w:top="750" w:left="1322" w:right="659" w:header="0" w:footer="720"/>
          <w:pgNumType w:start="1"/>
          <w:titlePg w:val="1"/>
        </w:sectPr>
      </w:pP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2525" w:line="240" w:lineRule="auto"/>
        <w:rPr>
          <w:b w:val="1"/>
          <w:bCs w:val="1"/>
          <w:color w:val="000000"/>
          <w:sz w:val="32"/>
          <w:szCs w:val="32"/>
        </w:rPr>
        <w:sectPr>
          <w:type w:val="continuous"/>
          <w:pgSz w:h="16820" w:w="11900" w:orient="portrait"/>
          <w:pgMar w:bottom="755" w:top="750" w:left="4603" w:right="654" w:header="0" w:footer="720"/>
          <w:cols w:equalWidth="0" w:num="2">
            <w:col w:space="0" w:w="3321.5000000000005"/>
            <w:col w:space="0" w:w="3321.5000000000005"/>
          </w:cols>
        </w:sectPr>
      </w:pPr>
      <w:r w:rsidDel="00000000" w:rsidR="00000000" w:rsidRPr="00000000">
        <w:rPr>
          <w:b w:val="1"/>
          <w:bCs w:val="1"/>
          <w:color w:val="000000"/>
          <w:sz w:val="32"/>
          <w:szCs w:val="32"/>
          <w:rtl w:val="0"/>
        </w:rPr>
        <w:t xml:space="preserve">Table of Contents </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1010" w:line="343" w:lineRule="auto"/>
        <w:ind w:left="116" w:right="784" w:firstLine="5.9999999999999964"/>
        <w:jc w:val="both"/>
        <w:rPr>
          <w:rFonts w:ascii="Calibri" w:cs="Calibri" w:eastAsia="Calibri" w:hAnsi="Calibri"/>
          <w:b w:val="1"/>
          <w:bCs w:val="1"/>
          <w:i w:val="1"/>
          <w:iCs w:val="1"/>
          <w:color w:val="000000"/>
          <w:sz w:val="24"/>
          <w:szCs w:val="24"/>
        </w:rPr>
      </w:pPr>
      <w:r w:rsidDel="00000000" w:rsidR="00000000" w:rsidRPr="00000000">
        <w:rPr>
          <w:rFonts w:ascii="Calibri" w:cs="Calibri" w:eastAsia="Calibri" w:hAnsi="Calibri"/>
          <w:b w:val="1"/>
          <w:bCs w:val="1"/>
          <w:i w:val="1"/>
          <w:iCs w:val="1"/>
          <w:color w:val="000000"/>
          <w:sz w:val="24"/>
          <w:szCs w:val="24"/>
          <w:rtl w:val="0"/>
        </w:rPr>
        <w:t xml:space="preserve">1.Aims</w:t>
      </w:r>
      <w:r w:rsidDel="00000000" w:rsidR="00000000" w:rsidRPr="00000000">
        <w:rPr>
          <w:rFonts w:ascii="Calibri" w:cs="Calibri" w:eastAsia="Calibri" w:hAnsi="Calibri"/>
          <w:b w:val="1"/>
          <w:bCs w:val="1"/>
          <w:i w:val="1"/>
          <w:iCs w:val="1"/>
          <w:sz w:val="24"/>
          <w:szCs w:val="24"/>
          <w:rtl w:val="0"/>
        </w:rPr>
        <w:t xml:space="preserve">……..</w:t>
      </w:r>
      <w:r w:rsidDel="00000000" w:rsidR="00000000" w:rsidRPr="00000000">
        <w:rPr>
          <w:rFonts w:ascii="Calibri" w:cs="Calibri" w:eastAsia="Calibri" w:hAnsi="Calibri"/>
          <w:b w:val="1"/>
          <w:bCs w:val="1"/>
          <w:i w:val="1"/>
          <w:iCs w:val="1"/>
          <w:color w:val="000000"/>
          <w:sz w:val="24"/>
          <w:szCs w:val="24"/>
          <w:rtl w:val="0"/>
        </w:rPr>
        <w:t xml:space="preserve">......................................................................................................................3 2. Legislation</w:t>
      </w:r>
      <w:r w:rsidDel="00000000" w:rsidR="00000000" w:rsidRPr="00000000">
        <w:rPr>
          <w:rFonts w:ascii="Calibri" w:cs="Calibri" w:eastAsia="Calibri" w:hAnsi="Calibri"/>
          <w:b w:val="1"/>
          <w:bCs w:val="1"/>
          <w:i w:val="1"/>
          <w:iCs w:val="1"/>
          <w:sz w:val="24"/>
          <w:szCs w:val="24"/>
          <w:rtl w:val="0"/>
        </w:rPr>
        <w:t xml:space="preserve"> </w:t>
      </w:r>
      <w:r w:rsidDel="00000000" w:rsidR="00000000" w:rsidRPr="00000000">
        <w:rPr>
          <w:rFonts w:ascii="Calibri" w:cs="Calibri" w:eastAsia="Calibri" w:hAnsi="Calibri"/>
          <w:b w:val="1"/>
          <w:bCs w:val="1"/>
          <w:i w:val="1"/>
          <w:iCs w:val="1"/>
          <w:color w:val="000000"/>
          <w:sz w:val="24"/>
          <w:szCs w:val="24"/>
          <w:rtl w:val="0"/>
        </w:rPr>
        <w:t xml:space="preserve">and guidance ...............................................................................................3 3. Roles and responsibilities...............................................................................................3 4. Eliminating discrimination .............................................................................................4 5. Advancing equality of opportunity .................................................................................4 6. Fostering good relations ................................................................................................5 7. Equality considerations in decision-making ....................................................................5 8. Equality objectives.........................................................................................................6 9. Monitoring arrangements..............................................................................................7 10. Links with other policies................................................................................................7</w:t>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before="3" w:line="240" w:lineRule="auto"/>
        <w:ind w:right="785"/>
        <w:jc w:val="right"/>
        <w:rPr>
          <w:rFonts w:ascii="Calibri" w:cs="Calibri" w:eastAsia="Calibri" w:hAnsi="Calibri"/>
          <w:color w:val="4472c4"/>
          <w:sz w:val="24"/>
          <w:szCs w:val="24"/>
        </w:rPr>
      </w:pP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before="3" w:line="240" w:lineRule="auto"/>
        <w:ind w:right="785"/>
        <w:jc w:val="right"/>
        <w:rPr>
          <w:rFonts w:ascii="Century Gothic" w:cs="Century Gothic" w:eastAsia="Century Gothic" w:hAnsi="Century Gothic"/>
          <w:color w:val="4472c4"/>
          <w:sz w:val="24"/>
          <w:szCs w:val="24"/>
        </w:rPr>
      </w:pP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before="3" w:line="240" w:lineRule="auto"/>
        <w:ind w:right="785"/>
        <w:jc w:val="right"/>
        <w:rPr>
          <w:rFonts w:ascii="Century Gothic" w:cs="Century Gothic" w:eastAsia="Century Gothic" w:hAnsi="Century Gothic"/>
          <w:color w:val="4472c4"/>
          <w:sz w:val="24"/>
          <w:szCs w:val="24"/>
        </w:rPr>
      </w:pP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before="3" w:line="240" w:lineRule="auto"/>
        <w:ind w:right="785"/>
        <w:jc w:val="right"/>
        <w:rPr>
          <w:rFonts w:ascii="Century Gothic" w:cs="Century Gothic" w:eastAsia="Century Gothic" w:hAnsi="Century Gothic"/>
          <w:color w:val="4472c4"/>
          <w:sz w:val="24"/>
          <w:szCs w:val="24"/>
        </w:rPr>
      </w:pPr>
      <w:r w:rsidDel="00000000" w:rsidR="00000000" w:rsidRPr="00000000">
        <w:rPr>
          <w:rtl w:val="0"/>
        </w:rPr>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before="3" w:line="240" w:lineRule="auto"/>
        <w:ind w:right="785"/>
        <w:jc w:val="right"/>
        <w:rPr>
          <w:rFonts w:ascii="Century Gothic" w:cs="Century Gothic" w:eastAsia="Century Gothic" w:hAnsi="Century Gothic"/>
          <w:color w:val="4472c4"/>
          <w:sz w:val="24"/>
          <w:szCs w:val="24"/>
        </w:rPr>
      </w:pPr>
      <w:r w:rsidDel="00000000" w:rsidR="00000000" w:rsidRPr="00000000">
        <w:rPr>
          <w:rtl w:val="0"/>
        </w:rPr>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before="3" w:line="240" w:lineRule="auto"/>
        <w:ind w:right="785"/>
        <w:jc w:val="right"/>
        <w:rPr>
          <w:rFonts w:ascii="Century Gothic" w:cs="Century Gothic" w:eastAsia="Century Gothic" w:hAnsi="Century Gothic"/>
          <w:color w:val="4472c4"/>
          <w:sz w:val="24"/>
          <w:szCs w:val="24"/>
        </w:rPr>
      </w:pPr>
      <w:r w:rsidDel="00000000" w:rsidR="00000000" w:rsidRPr="00000000">
        <w:rPr>
          <w:rtl w:val="0"/>
        </w:rPr>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before="3" w:line="240" w:lineRule="auto"/>
        <w:ind w:right="785"/>
        <w:jc w:val="right"/>
        <w:rPr>
          <w:rFonts w:ascii="Century Gothic" w:cs="Century Gothic" w:eastAsia="Century Gothic" w:hAnsi="Century Gothic"/>
          <w:color w:val="4472c4"/>
          <w:sz w:val="24"/>
          <w:szCs w:val="24"/>
        </w:rPr>
      </w:pPr>
      <w:r w:rsidDel="00000000" w:rsidR="00000000" w:rsidRPr="00000000">
        <w:rPr>
          <w:rtl w:val="0"/>
        </w:rPr>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before="3" w:line="240" w:lineRule="auto"/>
        <w:ind w:right="785"/>
        <w:jc w:val="right"/>
        <w:rPr>
          <w:rFonts w:ascii="Century Gothic" w:cs="Century Gothic" w:eastAsia="Century Gothic" w:hAnsi="Century Gothic"/>
          <w:color w:val="4472c4"/>
          <w:sz w:val="24"/>
          <w:szCs w:val="24"/>
        </w:rPr>
      </w:pPr>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before="3" w:line="240" w:lineRule="auto"/>
        <w:ind w:right="785"/>
        <w:jc w:val="right"/>
        <w:rPr>
          <w:rFonts w:ascii="Century Gothic" w:cs="Century Gothic" w:eastAsia="Century Gothic" w:hAnsi="Century Gothic"/>
          <w:color w:val="4472c4"/>
          <w:sz w:val="24"/>
          <w:szCs w:val="24"/>
        </w:rPr>
      </w:pPr>
      <w:r w:rsidDel="00000000" w:rsidR="00000000" w:rsidRPr="00000000">
        <w:rPr>
          <w:rtl w:val="0"/>
        </w:rPr>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before="3" w:line="240" w:lineRule="auto"/>
        <w:ind w:right="785"/>
        <w:jc w:val="right"/>
        <w:rPr>
          <w:rFonts w:ascii="Century Gothic" w:cs="Century Gothic" w:eastAsia="Century Gothic" w:hAnsi="Century Gothic"/>
          <w:color w:val="4472c4"/>
          <w:sz w:val="24"/>
          <w:szCs w:val="24"/>
        </w:rPr>
      </w:pPr>
      <w:r w:rsidDel="00000000" w:rsidR="00000000" w:rsidRPr="00000000">
        <w:rPr>
          <w:rtl w:val="0"/>
        </w:rPr>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before="3" w:line="240" w:lineRule="auto"/>
        <w:ind w:right="785"/>
        <w:jc w:val="right"/>
        <w:rPr>
          <w:rFonts w:ascii="Century Gothic" w:cs="Century Gothic" w:eastAsia="Century Gothic" w:hAnsi="Century Gothic"/>
          <w:color w:val="4472c4"/>
          <w:sz w:val="24"/>
          <w:szCs w:val="24"/>
        </w:rPr>
      </w:pPr>
      <w:r w:rsidDel="00000000" w:rsidR="00000000" w:rsidRPr="00000000">
        <w:rPr>
          <w:rtl w:val="0"/>
        </w:rPr>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before="3" w:line="240" w:lineRule="auto"/>
        <w:ind w:right="785"/>
        <w:jc w:val="right"/>
        <w:rPr>
          <w:rFonts w:ascii="Century Gothic" w:cs="Century Gothic" w:eastAsia="Century Gothic" w:hAnsi="Century Gothic"/>
          <w:color w:val="4472c4"/>
          <w:sz w:val="24"/>
          <w:szCs w:val="24"/>
        </w:rPr>
      </w:pPr>
      <w:r w:rsidDel="00000000" w:rsidR="00000000" w:rsidRPr="00000000">
        <w:rPr>
          <w:rtl w:val="0"/>
        </w:rPr>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before="3" w:line="240" w:lineRule="auto"/>
        <w:ind w:right="785"/>
        <w:jc w:val="left"/>
        <w:rPr>
          <w:rFonts w:ascii="Century Gothic" w:cs="Century Gothic" w:eastAsia="Century Gothic" w:hAnsi="Century Gothic"/>
          <w:color w:val="4472c4"/>
          <w:sz w:val="24"/>
          <w:szCs w:val="24"/>
        </w:rPr>
      </w:pPr>
      <w:r w:rsidDel="00000000" w:rsidR="00000000" w:rsidRPr="00000000">
        <w:rPr>
          <w:rtl w:val="0"/>
        </w:rPr>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before="3" w:line="240" w:lineRule="auto"/>
        <w:ind w:right="785"/>
        <w:jc w:val="right"/>
        <w:rPr>
          <w:rFonts w:ascii="Century Gothic" w:cs="Century Gothic" w:eastAsia="Century Gothic" w:hAnsi="Century Gothic"/>
          <w:color w:val="4472c4"/>
          <w:sz w:val="24"/>
          <w:szCs w:val="24"/>
        </w:rPr>
      </w:pPr>
      <w:r w:rsidDel="00000000" w:rsidR="00000000" w:rsidRPr="00000000">
        <w:rPr>
          <w:rtl w:val="0"/>
        </w:rPr>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line="240" w:lineRule="auto"/>
        <w:ind w:right="-5"/>
        <w:jc w:val="right"/>
        <w:rPr>
          <w:rFonts w:ascii="Century Gothic" w:cs="Century Gothic" w:eastAsia="Century Gothic" w:hAnsi="Century Gothic"/>
          <w:color w:val="767171"/>
          <w:sz w:val="18"/>
          <w:szCs w:val="18"/>
        </w:rPr>
      </w:pPr>
      <w:r w:rsidDel="00000000" w:rsidR="00000000" w:rsidRPr="00000000">
        <w:rPr>
          <w:rtl w:val="0"/>
        </w:rPr>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line="240" w:lineRule="auto"/>
        <w:ind w:left="0" w:firstLine="0"/>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1. Aims </w:t>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before="116" w:line="230" w:lineRule="auto"/>
        <w:ind w:left="0" w:right="907"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Our </w:t>
      </w:r>
      <w:r w:rsidDel="00000000" w:rsidR="00000000" w:rsidRPr="00000000">
        <w:rPr>
          <w:rFonts w:ascii="Century Gothic" w:cs="Century Gothic" w:eastAsia="Century Gothic" w:hAnsi="Century Gothic"/>
          <w:sz w:val="24"/>
          <w:szCs w:val="24"/>
          <w:rtl w:val="0"/>
        </w:rPr>
        <w:t xml:space="preserve">Trust</w:t>
      </w:r>
      <w:r w:rsidDel="00000000" w:rsidR="00000000" w:rsidRPr="00000000">
        <w:rPr>
          <w:rFonts w:ascii="Century Gothic" w:cs="Century Gothic" w:eastAsia="Century Gothic" w:hAnsi="Century Gothic"/>
          <w:color w:val="000000"/>
          <w:sz w:val="24"/>
          <w:szCs w:val="24"/>
          <w:rtl w:val="0"/>
        </w:rPr>
        <w:t xml:space="preserve"> aims to meet its obligations under the public sector equality duty by having due  regard to the need to: </w:t>
      </w:r>
      <w:r w:rsidDel="00000000" w:rsidR="00000000" w:rsidRPr="00000000">
        <w:rPr>
          <w:rtl w:val="0"/>
        </w:rPr>
      </w:r>
    </w:p>
    <w:p w:rsidR="00000000" w:rsidDel="00000000" w:rsidP="00000000" w:rsidRDefault="00000000" w:rsidRPr="00000000" w14:paraId="00000029">
      <w:pPr>
        <w:widowControl w:val="0"/>
        <w:numPr>
          <w:ilvl w:val="0"/>
          <w:numId w:val="3"/>
        </w:numPr>
        <w:pBdr>
          <w:top w:space="0" w:sz="0" w:val="nil"/>
          <w:left w:space="0" w:sz="0" w:val="nil"/>
          <w:bottom w:space="0" w:sz="0" w:val="nil"/>
          <w:right w:space="0" w:sz="0" w:val="nil"/>
          <w:between w:space="0" w:sz="0" w:val="nil"/>
        </w:pBdr>
        <w:spacing w:after="0" w:before="116" w:line="230" w:lineRule="auto"/>
        <w:ind w:left="720" w:right="907"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Eliminate discrimination and other conduct that is prohibited by the Equality Act 2010 </w:t>
      </w:r>
    </w:p>
    <w:p w:rsidR="00000000" w:rsidDel="00000000" w:rsidP="00000000" w:rsidRDefault="00000000" w:rsidRPr="00000000" w14:paraId="0000002A">
      <w:pPr>
        <w:widowControl w:val="0"/>
        <w:numPr>
          <w:ilvl w:val="0"/>
          <w:numId w:val="3"/>
        </w:numPr>
        <w:pBdr>
          <w:top w:space="0" w:sz="0" w:val="nil"/>
          <w:left w:space="0" w:sz="0" w:val="nil"/>
          <w:bottom w:space="0" w:sz="0" w:val="nil"/>
          <w:right w:space="0" w:sz="0" w:val="nil"/>
          <w:between w:space="0" w:sz="0" w:val="nil"/>
        </w:pBdr>
        <w:spacing w:after="0" w:before="0" w:line="230" w:lineRule="auto"/>
        <w:ind w:left="720" w:right="907"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Advance equality of opportunity between people who share a protected characteristic  and people who do not share it </w:t>
      </w:r>
    </w:p>
    <w:p w:rsidR="00000000" w:rsidDel="00000000" w:rsidP="00000000" w:rsidRDefault="00000000" w:rsidRPr="00000000" w14:paraId="0000002B">
      <w:pPr>
        <w:widowControl w:val="0"/>
        <w:numPr>
          <w:ilvl w:val="0"/>
          <w:numId w:val="3"/>
        </w:numPr>
        <w:pBdr>
          <w:top w:space="0" w:sz="0" w:val="nil"/>
          <w:left w:space="0" w:sz="0" w:val="nil"/>
          <w:bottom w:space="0" w:sz="0" w:val="nil"/>
          <w:right w:space="0" w:sz="0" w:val="nil"/>
          <w:between w:space="0" w:sz="0" w:val="nil"/>
        </w:pBdr>
        <w:spacing w:before="0" w:line="230" w:lineRule="auto"/>
        <w:ind w:left="720" w:right="907" w:hanging="360"/>
        <w:rPr>
          <w:color w:val="000000"/>
          <w:sz w:val="24"/>
          <w:szCs w:val="24"/>
          <w:u w:val="none"/>
        </w:rPr>
      </w:pPr>
      <w:r w:rsidDel="00000000" w:rsidR="00000000" w:rsidRPr="00000000">
        <w:rPr>
          <w:rFonts w:ascii="Century Gothic" w:cs="Century Gothic" w:eastAsia="Century Gothic" w:hAnsi="Century Gothic"/>
          <w:color w:val="000000"/>
          <w:sz w:val="24"/>
          <w:szCs w:val="24"/>
          <w:rtl w:val="0"/>
        </w:rPr>
        <w:t xml:space="preserve">Foster good relations across all characteristics –</w:t>
      </w:r>
      <w:r w:rsidDel="00000000" w:rsidR="00000000" w:rsidRPr="00000000">
        <w:rPr>
          <w:rFonts w:ascii="Century Gothic" w:cs="Century Gothic" w:eastAsia="Century Gothic" w:hAnsi="Century Gothic"/>
          <w:color w:val="3c4043"/>
          <w:sz w:val="24"/>
          <w:szCs w:val="24"/>
          <w:highlight w:val="white"/>
          <w:rtl w:val="0"/>
        </w:rPr>
        <w:t xml:space="preserve">foster good relations between all</w:t>
      </w:r>
      <w:r w:rsidDel="00000000" w:rsidR="00000000" w:rsidRPr="00000000">
        <w:rPr>
          <w:rtl w:val="0"/>
        </w:rPr>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before="116" w:line="230" w:lineRule="auto"/>
        <w:ind w:left="0" w:right="907" w:firstLine="0"/>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before="116" w:line="230" w:lineRule="auto"/>
        <w:ind w:left="0" w:right="907" w:firstLine="0"/>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2. Legislation and guidance  </w:t>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before="116" w:line="240" w:lineRule="auto"/>
        <w:ind w:left="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This document meets the requirements under the following legislation:  </w:t>
      </w:r>
    </w:p>
    <w:p w:rsidR="00000000" w:rsidDel="00000000" w:rsidP="00000000" w:rsidRDefault="00000000" w:rsidRPr="00000000" w14:paraId="0000002F">
      <w:pPr>
        <w:widowControl w:val="0"/>
        <w:numPr>
          <w:ilvl w:val="0"/>
          <w:numId w:val="9"/>
        </w:numPr>
        <w:pBdr>
          <w:top w:space="0" w:sz="0" w:val="nil"/>
          <w:left w:space="0" w:sz="0" w:val="nil"/>
          <w:bottom w:space="0" w:sz="0" w:val="nil"/>
          <w:right w:space="0" w:sz="0" w:val="nil"/>
          <w:between w:space="0" w:sz="0" w:val="nil"/>
        </w:pBdr>
        <w:spacing w:after="0" w:before="131" w:line="225" w:lineRule="auto"/>
        <w:ind w:left="720" w:right="86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Equality Act 2010, which introduced the public sector equality duty and protects  people from discrimination </w:t>
      </w:r>
    </w:p>
    <w:p w:rsidR="00000000" w:rsidDel="00000000" w:rsidP="00000000" w:rsidRDefault="00000000" w:rsidRPr="00000000" w14:paraId="00000030">
      <w:pPr>
        <w:widowControl w:val="0"/>
        <w:numPr>
          <w:ilvl w:val="0"/>
          <w:numId w:val="9"/>
        </w:numPr>
        <w:pBdr>
          <w:top w:space="0" w:sz="0" w:val="nil"/>
          <w:left w:space="0" w:sz="0" w:val="nil"/>
          <w:bottom w:space="0" w:sz="0" w:val="nil"/>
          <w:right w:space="0" w:sz="0" w:val="nil"/>
          <w:between w:space="0" w:sz="0" w:val="nil"/>
        </w:pBdr>
        <w:spacing w:before="0" w:line="225" w:lineRule="auto"/>
        <w:ind w:left="720" w:right="86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Equality Act 2010 (Specific Duties) Regulations 2011, which require Schools to  publish information to demonstrate how they are complying with the public sector  equality duty and to publish equality objectives. </w:t>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before="131" w:line="225" w:lineRule="auto"/>
        <w:ind w:left="0" w:right="86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This document is also based on Department for Education (DfE) guidance: The Equality Act  2010 and Schools.  </w:t>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before="125" w:line="240" w:lineRule="auto"/>
        <w:ind w:left="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This document also complies with our funding agreement and articles of association. </w:t>
      </w:r>
      <w:r w:rsidDel="00000000" w:rsidR="00000000" w:rsidRPr="00000000">
        <w:rPr>
          <w:rtl w:val="0"/>
        </w:rPr>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before="125" w:line="240" w:lineRule="auto"/>
        <w:ind w:left="0"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before="125" w:line="240" w:lineRule="auto"/>
        <w:ind w:left="0" w:firstLine="0"/>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3. Roles and responsibilities  </w:t>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before="116" w:line="240" w:lineRule="auto"/>
        <w:ind w:left="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Board of Trustees will: </w:t>
      </w:r>
    </w:p>
    <w:p w:rsidR="00000000" w:rsidDel="00000000" w:rsidP="00000000" w:rsidRDefault="00000000" w:rsidRPr="00000000" w14:paraId="00000036">
      <w:pPr>
        <w:widowControl w:val="0"/>
        <w:numPr>
          <w:ilvl w:val="0"/>
          <w:numId w:val="2"/>
        </w:numPr>
        <w:pBdr>
          <w:top w:space="0" w:sz="0" w:val="nil"/>
          <w:left w:space="0" w:sz="0" w:val="nil"/>
          <w:bottom w:space="0" w:sz="0" w:val="nil"/>
          <w:right w:space="0" w:sz="0" w:val="nil"/>
          <w:between w:space="0" w:sz="0" w:val="nil"/>
        </w:pBdr>
        <w:spacing w:after="0" w:before="131" w:line="228" w:lineRule="auto"/>
        <w:ind w:left="720" w:right="1032"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Ensure that the equality information and objectives as set out in this statement are  published and communicated throughout the School, including to staff, pupils and  parents/carers, and that they are reviewed and updated at least once every four  years  </w:t>
      </w:r>
    </w:p>
    <w:p w:rsidR="00000000" w:rsidDel="00000000" w:rsidP="00000000" w:rsidRDefault="00000000" w:rsidRPr="00000000" w14:paraId="00000037">
      <w:pPr>
        <w:widowControl w:val="0"/>
        <w:numPr>
          <w:ilvl w:val="0"/>
          <w:numId w:val="2"/>
        </w:numPr>
        <w:pBdr>
          <w:top w:space="0" w:sz="0" w:val="nil"/>
          <w:left w:space="0" w:sz="0" w:val="nil"/>
          <w:bottom w:space="0" w:sz="0" w:val="nil"/>
          <w:right w:space="0" w:sz="0" w:val="nil"/>
          <w:between w:space="0" w:sz="0" w:val="nil"/>
        </w:pBdr>
        <w:spacing w:after="0" w:before="0" w:line="228" w:lineRule="auto"/>
        <w:ind w:left="720" w:right="1032"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Delegate responsibility for monitoring the achievement of the objectives on a daily  basis to the Headteacher </w:t>
      </w:r>
    </w:p>
    <w:p w:rsidR="00000000" w:rsidDel="00000000" w:rsidP="00000000" w:rsidRDefault="00000000" w:rsidRPr="00000000" w14:paraId="00000038">
      <w:pPr>
        <w:widowControl w:val="0"/>
        <w:numPr>
          <w:ilvl w:val="0"/>
          <w:numId w:val="2"/>
        </w:numPr>
        <w:pBdr>
          <w:top w:space="0" w:sz="0" w:val="nil"/>
          <w:left w:space="0" w:sz="0" w:val="nil"/>
          <w:bottom w:space="0" w:sz="0" w:val="nil"/>
          <w:right w:space="0" w:sz="0" w:val="nil"/>
          <w:between w:space="0" w:sz="0" w:val="nil"/>
        </w:pBdr>
        <w:spacing w:after="0" w:before="0" w:line="228" w:lineRule="auto"/>
        <w:ind w:left="720" w:right="1032"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Meet with the designated member of staff for equality </w:t>
      </w:r>
      <w:r w:rsidDel="00000000" w:rsidR="00000000" w:rsidRPr="00000000">
        <w:rPr>
          <w:rFonts w:ascii="Century Gothic" w:cs="Century Gothic" w:eastAsia="Century Gothic" w:hAnsi="Century Gothic"/>
          <w:sz w:val="24"/>
          <w:szCs w:val="24"/>
          <w:rtl w:val="0"/>
        </w:rPr>
        <w:t xml:space="preserve">annually (or sooner if necessary)</w:t>
      </w:r>
      <w:r w:rsidDel="00000000" w:rsidR="00000000" w:rsidRPr="00000000">
        <w:rPr>
          <w:rFonts w:ascii="Century Gothic" w:cs="Century Gothic" w:eastAsia="Century Gothic" w:hAnsi="Century Gothic"/>
          <w:color w:val="000000"/>
          <w:sz w:val="24"/>
          <w:szCs w:val="24"/>
          <w:rtl w:val="0"/>
        </w:rPr>
        <w:t xml:space="preserve">, and other  relevant staff members, to discuss any issues and how these are being addressed  </w:t>
      </w:r>
    </w:p>
    <w:p w:rsidR="00000000" w:rsidDel="00000000" w:rsidP="00000000" w:rsidRDefault="00000000" w:rsidRPr="00000000" w14:paraId="00000039">
      <w:pPr>
        <w:widowControl w:val="0"/>
        <w:numPr>
          <w:ilvl w:val="0"/>
          <w:numId w:val="2"/>
        </w:numPr>
        <w:pBdr>
          <w:top w:space="0" w:sz="0" w:val="nil"/>
          <w:left w:space="0" w:sz="0" w:val="nil"/>
          <w:bottom w:space="0" w:sz="0" w:val="nil"/>
          <w:right w:space="0" w:sz="0" w:val="nil"/>
          <w:between w:space="0" w:sz="0" w:val="nil"/>
        </w:pBdr>
        <w:spacing w:after="0" w:before="0" w:line="228" w:lineRule="auto"/>
        <w:ind w:left="720" w:right="1032"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Ensure they</w:t>
      </w:r>
      <w:r w:rsidDel="00000000" w:rsidR="00000000" w:rsidRPr="00000000">
        <w:rPr>
          <w:rFonts w:ascii="Century Gothic" w:cs="Century Gothic" w:eastAsia="Century Gothic" w:hAnsi="Century Gothic"/>
          <w:sz w:val="24"/>
          <w:szCs w:val="24"/>
          <w:rtl w:val="0"/>
        </w:rPr>
        <w:t xml:space="preserve"> a</w:t>
      </w:r>
      <w:r w:rsidDel="00000000" w:rsidR="00000000" w:rsidRPr="00000000">
        <w:rPr>
          <w:rFonts w:ascii="Century Gothic" w:cs="Century Gothic" w:eastAsia="Century Gothic" w:hAnsi="Century Gothic"/>
          <w:color w:val="000000"/>
          <w:sz w:val="24"/>
          <w:szCs w:val="24"/>
          <w:rtl w:val="0"/>
        </w:rPr>
        <w:t xml:space="preserve">re familiar with all relevant legislation and the contents of this document </w:t>
      </w:r>
    </w:p>
    <w:p w:rsidR="00000000" w:rsidDel="00000000" w:rsidP="00000000" w:rsidRDefault="00000000" w:rsidRPr="00000000" w14:paraId="0000003A">
      <w:pPr>
        <w:widowControl w:val="0"/>
        <w:numPr>
          <w:ilvl w:val="0"/>
          <w:numId w:val="2"/>
        </w:numPr>
        <w:pBdr>
          <w:top w:space="0" w:sz="0" w:val="nil"/>
          <w:left w:space="0" w:sz="0" w:val="nil"/>
          <w:bottom w:space="0" w:sz="0" w:val="nil"/>
          <w:right w:space="0" w:sz="0" w:val="nil"/>
          <w:between w:space="0" w:sz="0" w:val="nil"/>
        </w:pBdr>
        <w:spacing w:after="0" w:before="0" w:line="228" w:lineRule="auto"/>
        <w:ind w:left="720" w:right="1032"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Attend appropriate equality and diversity training </w:t>
      </w:r>
    </w:p>
    <w:p w:rsidR="00000000" w:rsidDel="00000000" w:rsidP="00000000" w:rsidRDefault="00000000" w:rsidRPr="00000000" w14:paraId="0000003B">
      <w:pPr>
        <w:widowControl w:val="0"/>
        <w:numPr>
          <w:ilvl w:val="0"/>
          <w:numId w:val="2"/>
        </w:numPr>
        <w:pBdr>
          <w:top w:space="0" w:sz="0" w:val="nil"/>
          <w:left w:space="0" w:sz="0" w:val="nil"/>
          <w:bottom w:space="0" w:sz="0" w:val="nil"/>
          <w:right w:space="0" w:sz="0" w:val="nil"/>
          <w:between w:space="0" w:sz="0" w:val="nil"/>
        </w:pBdr>
        <w:spacing w:before="0" w:line="228" w:lineRule="auto"/>
        <w:ind w:left="720" w:right="1032"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Report back to the full Board of Trustees regarding any issues. </w:t>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before="116" w:line="240" w:lineRule="auto"/>
        <w:ind w:left="0"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before="116" w:line="240" w:lineRule="auto"/>
        <w:ind w:left="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Headteacher will: </w:t>
      </w:r>
    </w:p>
    <w:p w:rsidR="00000000" w:rsidDel="00000000" w:rsidP="00000000" w:rsidRDefault="00000000" w:rsidRPr="00000000" w14:paraId="0000003E">
      <w:pPr>
        <w:widowControl w:val="0"/>
        <w:numPr>
          <w:ilvl w:val="0"/>
          <w:numId w:val="8"/>
        </w:numPr>
        <w:pBdr>
          <w:top w:space="0" w:sz="0" w:val="nil"/>
          <w:left w:space="0" w:sz="0" w:val="nil"/>
          <w:bottom w:space="0" w:sz="0" w:val="nil"/>
          <w:right w:space="0" w:sz="0" w:val="nil"/>
          <w:between w:space="0" w:sz="0" w:val="nil"/>
        </w:pBdr>
        <w:spacing w:after="0" w:before="131" w:line="230" w:lineRule="auto"/>
        <w:ind w:left="720" w:right="908"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Promote knowledge and understanding of the equality objectives amongst staff and  pupils </w:t>
      </w:r>
    </w:p>
    <w:p w:rsidR="00000000" w:rsidDel="00000000" w:rsidP="00000000" w:rsidRDefault="00000000" w:rsidRPr="00000000" w14:paraId="0000003F">
      <w:pPr>
        <w:widowControl w:val="0"/>
        <w:numPr>
          <w:ilvl w:val="0"/>
          <w:numId w:val="8"/>
        </w:numPr>
        <w:pBdr>
          <w:top w:space="0" w:sz="0" w:val="nil"/>
          <w:left w:space="0" w:sz="0" w:val="nil"/>
          <w:bottom w:space="0" w:sz="0" w:val="nil"/>
          <w:right w:space="0" w:sz="0" w:val="nil"/>
          <w:between w:space="0" w:sz="0" w:val="nil"/>
        </w:pBdr>
        <w:spacing w:before="0" w:line="230" w:lineRule="auto"/>
        <w:ind w:left="720" w:right="908"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Monitor success in achieving the objectives and report back to governors. </w:t>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before="15" w:line="338" w:lineRule="auto"/>
        <w:ind w:left="120" w:right="1948" w:firstLine="366"/>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before="15" w:line="338" w:lineRule="auto"/>
        <w:ind w:left="120" w:right="1948" w:firstLine="366"/>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before="15" w:line="338" w:lineRule="auto"/>
        <w:ind w:left="120" w:right="1948" w:firstLine="366"/>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before="15" w:line="338" w:lineRule="auto"/>
        <w:ind w:left="120" w:right="1948" w:firstLine="366"/>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before="15" w:line="338" w:lineRule="auto"/>
        <w:ind w:left="120" w:right="1948" w:firstLine="366"/>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before="15" w:line="338" w:lineRule="auto"/>
        <w:ind w:left="120" w:right="1948" w:firstLine="366"/>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before="15" w:line="338" w:lineRule="auto"/>
        <w:ind w:left="120" w:right="1948" w:firstLine="366"/>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before="15" w:line="338" w:lineRule="auto"/>
        <w:ind w:left="120" w:right="1948" w:firstLine="366"/>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before="15" w:line="338" w:lineRule="auto"/>
        <w:ind w:left="0" w:right="1948" w:firstLine="0"/>
        <w:rPr>
          <w:rFonts w:ascii="Century Gothic" w:cs="Century Gothic" w:eastAsia="Century Gothic" w:hAnsi="Century Gothic"/>
          <w:color w:val="767171"/>
          <w:sz w:val="24"/>
          <w:szCs w:val="24"/>
        </w:rPr>
      </w:pPr>
      <w:r w:rsidDel="00000000" w:rsidR="00000000" w:rsidRPr="00000000">
        <w:rPr>
          <w:rFonts w:ascii="Century Gothic" w:cs="Century Gothic" w:eastAsia="Century Gothic" w:hAnsi="Century Gothic"/>
          <w:color w:val="000000"/>
          <w:sz w:val="24"/>
          <w:szCs w:val="24"/>
          <w:rtl w:val="0"/>
        </w:rPr>
        <w:t xml:space="preserve">The designated member of staff for equality will:</w:t>
      </w:r>
      <w:r w:rsidDel="00000000" w:rsidR="00000000" w:rsidRPr="00000000">
        <w:rPr>
          <w:rtl w:val="0"/>
        </w:rPr>
      </w:r>
    </w:p>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line="240" w:lineRule="auto"/>
        <w:ind w:right="-5"/>
        <w:jc w:val="right"/>
        <w:rPr>
          <w:rFonts w:ascii="Century Gothic" w:cs="Century Gothic" w:eastAsia="Century Gothic" w:hAnsi="Century Gothic"/>
          <w:color w:val="767171"/>
          <w:sz w:val="24"/>
          <w:szCs w:val="24"/>
        </w:rPr>
      </w:pPr>
      <w:r w:rsidDel="00000000" w:rsidR="00000000" w:rsidRPr="00000000">
        <w:rPr>
          <w:rtl w:val="0"/>
        </w:rPr>
      </w:r>
    </w:p>
    <w:p w:rsidR="00000000" w:rsidDel="00000000" w:rsidP="00000000" w:rsidRDefault="00000000" w:rsidRPr="00000000" w14:paraId="0000004A">
      <w:pPr>
        <w:widowControl w:val="0"/>
        <w:numPr>
          <w:ilvl w:val="0"/>
          <w:numId w:val="4"/>
        </w:numPr>
        <w:pBdr>
          <w:top w:space="0" w:sz="0" w:val="nil"/>
          <w:left w:space="0" w:sz="0" w:val="nil"/>
          <w:bottom w:space="0" w:sz="0" w:val="nil"/>
          <w:right w:space="0" w:sz="0" w:val="nil"/>
          <w:between w:space="0" w:sz="0" w:val="nil"/>
        </w:pBdr>
        <w:spacing w:line="230" w:lineRule="auto"/>
        <w:ind w:left="720" w:right="859"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Support the Headteacher in promoting knowledge and understanding of the equality objectives amongst staff and pupils </w:t>
      </w:r>
    </w:p>
    <w:p w:rsidR="00000000" w:rsidDel="00000000" w:rsidP="00000000" w:rsidRDefault="00000000" w:rsidRPr="00000000" w14:paraId="0000004B">
      <w:pPr>
        <w:widowControl w:val="0"/>
        <w:numPr>
          <w:ilvl w:val="0"/>
          <w:numId w:val="4"/>
        </w:numPr>
        <w:pBdr>
          <w:top w:space="0" w:sz="0" w:val="nil"/>
          <w:left w:space="0" w:sz="0" w:val="nil"/>
          <w:bottom w:space="0" w:sz="0" w:val="nil"/>
          <w:right w:space="0" w:sz="0" w:val="nil"/>
          <w:between w:space="0" w:sz="0" w:val="nil"/>
        </w:pBdr>
        <w:spacing w:line="230" w:lineRule="auto"/>
        <w:ind w:left="720" w:right="859"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Meet with the Equality </w:t>
      </w:r>
      <w:r w:rsidDel="00000000" w:rsidR="00000000" w:rsidRPr="00000000">
        <w:rPr>
          <w:rFonts w:ascii="Century Gothic" w:cs="Century Gothic" w:eastAsia="Century Gothic" w:hAnsi="Century Gothic"/>
          <w:sz w:val="24"/>
          <w:szCs w:val="24"/>
          <w:rtl w:val="0"/>
        </w:rPr>
        <w:t xml:space="preserve">L</w:t>
      </w:r>
      <w:r w:rsidDel="00000000" w:rsidR="00000000" w:rsidRPr="00000000">
        <w:rPr>
          <w:rFonts w:ascii="Century Gothic" w:cs="Century Gothic" w:eastAsia="Century Gothic" w:hAnsi="Century Gothic"/>
          <w:color w:val="000000"/>
          <w:sz w:val="24"/>
          <w:szCs w:val="24"/>
          <w:rtl w:val="0"/>
        </w:rPr>
        <w:t xml:space="preserve">ink </w:t>
      </w:r>
      <w:r w:rsidDel="00000000" w:rsidR="00000000" w:rsidRPr="00000000">
        <w:rPr>
          <w:rFonts w:ascii="Century Gothic" w:cs="Century Gothic" w:eastAsia="Century Gothic" w:hAnsi="Century Gothic"/>
          <w:sz w:val="24"/>
          <w:szCs w:val="24"/>
          <w:rtl w:val="0"/>
        </w:rPr>
        <w:t xml:space="preserve">G</w:t>
      </w:r>
      <w:r w:rsidDel="00000000" w:rsidR="00000000" w:rsidRPr="00000000">
        <w:rPr>
          <w:rFonts w:ascii="Century Gothic" w:cs="Century Gothic" w:eastAsia="Century Gothic" w:hAnsi="Century Gothic"/>
          <w:color w:val="000000"/>
          <w:sz w:val="24"/>
          <w:szCs w:val="24"/>
          <w:rtl w:val="0"/>
        </w:rPr>
        <w:t xml:space="preserve">overnor </w:t>
      </w:r>
      <w:r w:rsidDel="00000000" w:rsidR="00000000" w:rsidRPr="00000000">
        <w:rPr>
          <w:rFonts w:ascii="Century Gothic" w:cs="Century Gothic" w:eastAsia="Century Gothic" w:hAnsi="Century Gothic"/>
          <w:sz w:val="24"/>
          <w:szCs w:val="24"/>
          <w:rtl w:val="0"/>
        </w:rPr>
        <w:t xml:space="preserve">annually</w:t>
      </w:r>
      <w:r w:rsidDel="00000000" w:rsidR="00000000" w:rsidRPr="00000000">
        <w:rPr>
          <w:rFonts w:ascii="Century Gothic" w:cs="Century Gothic" w:eastAsia="Century Gothic" w:hAnsi="Century Gothic"/>
          <w:color w:val="000000"/>
          <w:sz w:val="24"/>
          <w:szCs w:val="24"/>
          <w:rtl w:val="0"/>
        </w:rPr>
        <w:t xml:space="preserve"> to raise and discuss any  issues </w:t>
      </w:r>
    </w:p>
    <w:p w:rsidR="00000000" w:rsidDel="00000000" w:rsidP="00000000" w:rsidRDefault="00000000" w:rsidRPr="00000000" w14:paraId="0000004C">
      <w:pPr>
        <w:widowControl w:val="0"/>
        <w:numPr>
          <w:ilvl w:val="0"/>
          <w:numId w:val="4"/>
        </w:numPr>
        <w:pBdr>
          <w:top w:space="0" w:sz="0" w:val="nil"/>
          <w:left w:space="0" w:sz="0" w:val="nil"/>
          <w:bottom w:space="0" w:sz="0" w:val="nil"/>
          <w:right w:space="0" w:sz="0" w:val="nil"/>
          <w:between w:space="0" w:sz="0" w:val="nil"/>
        </w:pBdr>
        <w:spacing w:line="230" w:lineRule="auto"/>
        <w:ind w:left="720" w:right="859"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Support the Headteacher in identifying any staff training needs, and deliver training  as necessary. </w:t>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before="120" w:line="230" w:lineRule="auto"/>
        <w:ind w:left="0" w:right="1164"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School staff are expected to have regard to this document and to work to achieve the  objectives as set out in section 8.  </w:t>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before="500" w:line="240" w:lineRule="auto"/>
        <w:ind w:left="0" w:firstLine="0"/>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4. Eliminating discrimination </w:t>
      </w:r>
    </w:p>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before="111" w:line="230" w:lineRule="auto"/>
        <w:ind w:left="0" w:right="1101"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w:t>
      </w:r>
      <w:r w:rsidDel="00000000" w:rsidR="00000000" w:rsidRPr="00000000">
        <w:rPr>
          <w:rFonts w:ascii="Century Gothic" w:cs="Century Gothic" w:eastAsia="Century Gothic" w:hAnsi="Century Gothic"/>
          <w:sz w:val="24"/>
          <w:szCs w:val="24"/>
          <w:rtl w:val="0"/>
        </w:rPr>
        <w:t xml:space="preserve">Trust</w:t>
      </w:r>
      <w:r w:rsidDel="00000000" w:rsidR="00000000" w:rsidRPr="00000000">
        <w:rPr>
          <w:rFonts w:ascii="Century Gothic" w:cs="Century Gothic" w:eastAsia="Century Gothic" w:hAnsi="Century Gothic"/>
          <w:color w:val="000000"/>
          <w:sz w:val="24"/>
          <w:szCs w:val="24"/>
          <w:rtl w:val="0"/>
        </w:rPr>
        <w:t xml:space="preserve"> is aware of its obligations under the Equality Act 2010 and complies with non discrimination provisions.  </w:t>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before="125" w:line="230" w:lineRule="auto"/>
        <w:ind w:left="0" w:right="972"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Where relevant, our policies include reference to the importance of avoiding discrimination  and other prohibited conduct.  </w:t>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before="120" w:line="230" w:lineRule="auto"/>
        <w:ind w:left="0" w:right="725"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and governors are regularly reminded of their responsibilities under the Equality Act, for  example during meetings. Where this has been discussed during a meeting it is recorded in  the meeting minutes. </w:t>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before="120" w:line="230" w:lineRule="auto"/>
        <w:ind w:left="0" w:right="945"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New staff receive training on the Equality Act as part of their induction, and all staff receive  refresher training every September.  </w:t>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before="125" w:line="228" w:lineRule="auto"/>
        <w:ind w:left="0" w:right="776"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Schools ha</w:t>
      </w:r>
      <w:r w:rsidDel="00000000" w:rsidR="00000000" w:rsidRPr="00000000">
        <w:rPr>
          <w:rFonts w:ascii="Century Gothic" w:cs="Century Gothic" w:eastAsia="Century Gothic" w:hAnsi="Century Gothic"/>
          <w:sz w:val="24"/>
          <w:szCs w:val="24"/>
          <w:rtl w:val="0"/>
        </w:rPr>
        <w:t xml:space="preserve">ve</w:t>
      </w:r>
      <w:r w:rsidDel="00000000" w:rsidR="00000000" w:rsidRPr="00000000">
        <w:rPr>
          <w:rFonts w:ascii="Century Gothic" w:cs="Century Gothic" w:eastAsia="Century Gothic" w:hAnsi="Century Gothic"/>
          <w:color w:val="000000"/>
          <w:sz w:val="24"/>
          <w:szCs w:val="24"/>
          <w:rtl w:val="0"/>
        </w:rPr>
        <w:t xml:space="preserve"> a designated member of staff for monitoring equality issues, and an equality  link governor. They regularly liaise regarding any issues and make senior leaders and  governors aware of these as appropriate.  </w:t>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before="502" w:line="240" w:lineRule="auto"/>
        <w:ind w:left="0" w:firstLine="0"/>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5. Advancing equality of opportunity </w:t>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before="116" w:line="230" w:lineRule="auto"/>
        <w:ind w:left="0" w:right="996"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As set out in the DfE guidance on the Equality Act, the School aims to advance equality of  opportunity by: </w:t>
      </w:r>
    </w:p>
    <w:p w:rsidR="00000000" w:rsidDel="00000000" w:rsidP="00000000" w:rsidRDefault="00000000" w:rsidRPr="00000000" w14:paraId="00000056">
      <w:pPr>
        <w:widowControl w:val="0"/>
        <w:numPr>
          <w:ilvl w:val="0"/>
          <w:numId w:val="7"/>
        </w:numPr>
        <w:pBdr>
          <w:top w:space="0" w:sz="0" w:val="nil"/>
          <w:left w:space="0" w:sz="0" w:val="nil"/>
          <w:bottom w:space="0" w:sz="0" w:val="nil"/>
          <w:right w:space="0" w:sz="0" w:val="nil"/>
          <w:between w:space="0" w:sz="0" w:val="nil"/>
        </w:pBdr>
        <w:spacing w:after="0" w:before="135" w:line="230" w:lineRule="auto"/>
        <w:ind w:left="720" w:right="811"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Removing or minimising disadvantages suffered by people which are connected to a  particular characteristic they have (e.g. pupils with disabilities, or gay pupils who are  being subjected to homophobic bullying) </w:t>
      </w:r>
    </w:p>
    <w:p w:rsidR="00000000" w:rsidDel="00000000" w:rsidP="00000000" w:rsidRDefault="00000000" w:rsidRPr="00000000" w14:paraId="00000057">
      <w:pPr>
        <w:widowControl w:val="0"/>
        <w:numPr>
          <w:ilvl w:val="0"/>
          <w:numId w:val="7"/>
        </w:numPr>
        <w:pBdr>
          <w:top w:space="0" w:sz="0" w:val="nil"/>
          <w:left w:space="0" w:sz="0" w:val="nil"/>
          <w:bottom w:space="0" w:sz="0" w:val="nil"/>
          <w:right w:space="0" w:sz="0" w:val="nil"/>
          <w:between w:space="0" w:sz="0" w:val="nil"/>
        </w:pBdr>
        <w:spacing w:after="0" w:before="0" w:line="230" w:lineRule="auto"/>
        <w:ind w:left="720" w:right="811"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Taking steps to meet the particular needs of people who have a particular  characteristic (e.g. enabling Muslim pupils to pray at prescribed times)  </w:t>
      </w:r>
    </w:p>
    <w:p w:rsidR="00000000" w:rsidDel="00000000" w:rsidP="00000000" w:rsidRDefault="00000000" w:rsidRPr="00000000" w14:paraId="00000058">
      <w:pPr>
        <w:widowControl w:val="0"/>
        <w:numPr>
          <w:ilvl w:val="0"/>
          <w:numId w:val="7"/>
        </w:numPr>
        <w:pBdr>
          <w:top w:space="0" w:sz="0" w:val="nil"/>
          <w:left w:space="0" w:sz="0" w:val="nil"/>
          <w:bottom w:space="0" w:sz="0" w:val="nil"/>
          <w:right w:space="0" w:sz="0" w:val="nil"/>
          <w:between w:space="0" w:sz="0" w:val="nil"/>
        </w:pBdr>
        <w:spacing w:before="0" w:line="230" w:lineRule="auto"/>
        <w:ind w:left="720" w:right="811"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Encouraging people who have a particular characteristic to participate fully in any  activities (e.g. encouraging all pupils to be involved in the full range of School  societies)  </w:t>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before="22" w:line="240" w:lineRule="auto"/>
        <w:ind w:left="0"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spacing w:before="22" w:line="240" w:lineRule="auto"/>
        <w:ind w:left="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In fulfilling this aspect of the duty, the School will: </w:t>
      </w:r>
      <w:r w:rsidDel="00000000" w:rsidR="00000000" w:rsidRPr="00000000">
        <w:rPr>
          <w:rtl w:val="0"/>
        </w:rPr>
      </w:r>
    </w:p>
    <w:p w:rsidR="00000000" w:rsidDel="00000000" w:rsidP="00000000" w:rsidRDefault="00000000" w:rsidRPr="00000000" w14:paraId="0000005B">
      <w:pPr>
        <w:widowControl w:val="0"/>
        <w:numPr>
          <w:ilvl w:val="0"/>
          <w:numId w:val="5"/>
        </w:numPr>
        <w:pBdr>
          <w:top w:space="0" w:sz="0" w:val="nil"/>
          <w:left w:space="0" w:sz="0" w:val="nil"/>
          <w:bottom w:space="0" w:sz="0" w:val="nil"/>
          <w:right w:space="0" w:sz="0" w:val="nil"/>
          <w:between w:space="0" w:sz="0" w:val="nil"/>
        </w:pBdr>
        <w:spacing w:after="0" w:before="22" w:line="24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Publish attainment data each academic year showing how pupils with different characteristics are performing </w:t>
      </w:r>
    </w:p>
    <w:p w:rsidR="00000000" w:rsidDel="00000000" w:rsidP="00000000" w:rsidRDefault="00000000" w:rsidRPr="00000000" w14:paraId="0000005C">
      <w:pPr>
        <w:widowControl w:val="0"/>
        <w:numPr>
          <w:ilvl w:val="0"/>
          <w:numId w:val="5"/>
        </w:numPr>
        <w:pBdr>
          <w:top w:space="0" w:sz="0" w:val="nil"/>
          <w:left w:space="0" w:sz="0" w:val="nil"/>
          <w:bottom w:space="0" w:sz="0" w:val="nil"/>
          <w:right w:space="0" w:sz="0" w:val="nil"/>
          <w:between w:space="0" w:sz="0" w:val="nil"/>
        </w:pBdr>
        <w:spacing w:after="0" w:before="0" w:line="24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Analyse the above data to determine strengths and areas for</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color w:val="000000"/>
          <w:sz w:val="24"/>
          <w:szCs w:val="24"/>
          <w:rtl w:val="0"/>
        </w:rPr>
        <w:t xml:space="preserve">improvement, implement actions in response and publish this information </w:t>
      </w:r>
    </w:p>
    <w:p w:rsidR="00000000" w:rsidDel="00000000" w:rsidP="00000000" w:rsidRDefault="00000000" w:rsidRPr="00000000" w14:paraId="0000005D">
      <w:pPr>
        <w:widowControl w:val="0"/>
        <w:numPr>
          <w:ilvl w:val="0"/>
          <w:numId w:val="5"/>
        </w:numPr>
        <w:pBdr>
          <w:top w:space="0" w:sz="0" w:val="nil"/>
          <w:left w:space="0" w:sz="0" w:val="nil"/>
          <w:bottom w:space="0" w:sz="0" w:val="nil"/>
          <w:right w:space="0" w:sz="0" w:val="nil"/>
          <w:between w:space="0" w:sz="0" w:val="nil"/>
        </w:pBdr>
        <w:spacing w:after="0" w:before="0" w:line="24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Make evidence available identifying improvements for specific groups (e.g. declines in incidents of homophobic or transphobic bullying) </w:t>
      </w:r>
    </w:p>
    <w:p w:rsidR="00000000" w:rsidDel="00000000" w:rsidP="00000000" w:rsidRDefault="00000000" w:rsidRPr="00000000" w14:paraId="0000005E">
      <w:pPr>
        <w:widowControl w:val="0"/>
        <w:numPr>
          <w:ilvl w:val="0"/>
          <w:numId w:val="5"/>
        </w:numPr>
        <w:pBdr>
          <w:top w:space="0" w:sz="0" w:val="nil"/>
          <w:left w:space="0" w:sz="0" w:val="nil"/>
          <w:bottom w:space="0" w:sz="0" w:val="nil"/>
          <w:right w:space="0" w:sz="0" w:val="nil"/>
          <w:between w:space="0" w:sz="0" w:val="nil"/>
        </w:pBdr>
        <w:spacing w:before="0" w:line="24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Publish further data about any issues associated with particular protected  characteristics, identifying any issues which could affect our own pupils. </w:t>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before="495" w:line="240" w:lineRule="auto"/>
        <w:ind w:left="0" w:firstLine="0"/>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6. Fostering good relations </w:t>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before="116" w:line="230" w:lineRule="auto"/>
        <w:ind w:left="0" w:right="2073"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w:t>
      </w:r>
      <w:r w:rsidDel="00000000" w:rsidR="00000000" w:rsidRPr="00000000">
        <w:rPr>
          <w:rFonts w:ascii="Century Gothic" w:cs="Century Gothic" w:eastAsia="Century Gothic" w:hAnsi="Century Gothic"/>
          <w:sz w:val="24"/>
          <w:szCs w:val="24"/>
          <w:rtl w:val="0"/>
        </w:rPr>
        <w:t xml:space="preserve">Trust</w:t>
      </w:r>
      <w:r w:rsidDel="00000000" w:rsidR="00000000" w:rsidRPr="00000000">
        <w:rPr>
          <w:rFonts w:ascii="Century Gothic" w:cs="Century Gothic" w:eastAsia="Century Gothic" w:hAnsi="Century Gothic"/>
          <w:color w:val="000000"/>
          <w:sz w:val="24"/>
          <w:szCs w:val="24"/>
          <w:rtl w:val="0"/>
        </w:rPr>
        <w:t xml:space="preserve"> aims to foster good relations between those who share a protected  characteristic and those who do not share it by: </w:t>
      </w:r>
    </w:p>
    <w:p w:rsidR="00000000" w:rsidDel="00000000" w:rsidP="00000000" w:rsidRDefault="00000000" w:rsidRPr="00000000" w14:paraId="00000061">
      <w:pPr>
        <w:widowControl w:val="0"/>
        <w:numPr>
          <w:ilvl w:val="0"/>
          <w:numId w:val="6"/>
        </w:numPr>
        <w:pBdr>
          <w:top w:space="0" w:sz="0" w:val="nil"/>
          <w:left w:space="0" w:sz="0" w:val="nil"/>
          <w:bottom w:space="0" w:sz="0" w:val="nil"/>
          <w:right w:space="0" w:sz="0" w:val="nil"/>
          <w:between w:space="0" w:sz="0" w:val="nil"/>
        </w:pBdr>
        <w:spacing w:after="0" w:before="140" w:line="228" w:lineRule="auto"/>
        <w:ind w:left="720" w:right="913"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Promoting tolerance, friendship and understanding of a range of religions and  cultures through different aspects of our curriculum. This includes teaching in RE,  citizenship and personal, social, health and economic (PSHE) education, but also  activities in other curriculum areas. For example, as part of teaching and learning in  English/reading, pupils will be introduced to literature from a range of cultures </w:t>
      </w:r>
    </w:p>
    <w:p w:rsidR="00000000" w:rsidDel="00000000" w:rsidP="00000000" w:rsidRDefault="00000000" w:rsidRPr="00000000" w14:paraId="00000062">
      <w:pPr>
        <w:widowControl w:val="0"/>
        <w:numPr>
          <w:ilvl w:val="0"/>
          <w:numId w:val="6"/>
        </w:numPr>
        <w:pBdr>
          <w:top w:space="0" w:sz="0" w:val="nil"/>
          <w:left w:space="0" w:sz="0" w:val="nil"/>
          <w:bottom w:space="0" w:sz="0" w:val="nil"/>
          <w:right w:space="0" w:sz="0" w:val="nil"/>
          <w:between w:space="0" w:sz="0" w:val="nil"/>
        </w:pBdr>
        <w:spacing w:after="0" w:before="0" w:line="228" w:lineRule="auto"/>
        <w:ind w:left="720" w:right="913"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Holding assemblies dealing with relevant issues. Pupils will be encouraged to take a  lead in such assemblies and we will also invite external speakers to contribute </w:t>
      </w:r>
    </w:p>
    <w:p w:rsidR="00000000" w:rsidDel="00000000" w:rsidP="00000000" w:rsidRDefault="00000000" w:rsidRPr="00000000" w14:paraId="00000063">
      <w:pPr>
        <w:widowControl w:val="0"/>
        <w:numPr>
          <w:ilvl w:val="0"/>
          <w:numId w:val="6"/>
        </w:numPr>
        <w:pBdr>
          <w:top w:space="0" w:sz="0" w:val="nil"/>
          <w:left w:space="0" w:sz="0" w:val="nil"/>
          <w:bottom w:space="0" w:sz="0" w:val="nil"/>
          <w:right w:space="0" w:sz="0" w:val="nil"/>
          <w:between w:space="0" w:sz="0" w:val="nil"/>
        </w:pBdr>
        <w:spacing w:after="0" w:before="0" w:line="228" w:lineRule="auto"/>
        <w:ind w:left="720" w:right="913"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Working with our local community. This includes inviting leaders of local faith groups  to speak at assemblies, and organising School trips and activities based around the  local community </w:t>
      </w:r>
    </w:p>
    <w:p w:rsidR="00000000" w:rsidDel="00000000" w:rsidP="00000000" w:rsidRDefault="00000000" w:rsidRPr="00000000" w14:paraId="00000064">
      <w:pPr>
        <w:widowControl w:val="0"/>
        <w:numPr>
          <w:ilvl w:val="0"/>
          <w:numId w:val="6"/>
        </w:numPr>
        <w:pBdr>
          <w:top w:space="0" w:sz="0" w:val="nil"/>
          <w:left w:space="0" w:sz="0" w:val="nil"/>
          <w:bottom w:space="0" w:sz="0" w:val="nil"/>
          <w:right w:space="0" w:sz="0" w:val="nil"/>
          <w:between w:space="0" w:sz="0" w:val="nil"/>
        </w:pBdr>
        <w:spacing w:after="0" w:before="0" w:line="228" w:lineRule="auto"/>
        <w:ind w:left="720" w:right="913"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Encouraging and implementing initiatives to deal with tensions between different</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color w:val="000000"/>
          <w:sz w:val="24"/>
          <w:szCs w:val="24"/>
          <w:rtl w:val="0"/>
        </w:rPr>
        <w:t xml:space="preserve">groups of pupils within the School. For example, our School council has</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color w:val="000000"/>
          <w:sz w:val="24"/>
          <w:szCs w:val="24"/>
          <w:rtl w:val="0"/>
        </w:rPr>
        <w:t xml:space="preserve">representatives from different year groups and is formed of pupils from a range of  backgrounds. All pupils are encouraged to participate in the School’s activities, such  as sports clubs. We also work with parents/carers to promote knowledge and  understanding of different cultures </w:t>
      </w:r>
    </w:p>
    <w:p w:rsidR="00000000" w:rsidDel="00000000" w:rsidP="00000000" w:rsidRDefault="00000000" w:rsidRPr="00000000" w14:paraId="00000065">
      <w:pPr>
        <w:widowControl w:val="0"/>
        <w:numPr>
          <w:ilvl w:val="0"/>
          <w:numId w:val="6"/>
        </w:numPr>
        <w:pBdr>
          <w:top w:space="0" w:sz="0" w:val="nil"/>
          <w:left w:space="0" w:sz="0" w:val="nil"/>
          <w:bottom w:space="0" w:sz="0" w:val="nil"/>
          <w:right w:space="0" w:sz="0" w:val="nil"/>
          <w:between w:space="0" w:sz="0" w:val="nil"/>
        </w:pBdr>
        <w:spacing w:before="0" w:line="228" w:lineRule="auto"/>
        <w:ind w:left="720" w:right="913"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have developed links with people and groups who have specialist knowledge  about particular characteristics, which helps inform and develop our approach. </w:t>
      </w:r>
    </w:p>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before="380" w:line="240" w:lineRule="auto"/>
        <w:ind w:left="0" w:firstLine="0"/>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7. Equality considerations in decision-making </w:t>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before="111" w:line="230" w:lineRule="auto"/>
        <w:ind w:left="0" w:right="1474"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w:t>
      </w:r>
      <w:r w:rsidDel="00000000" w:rsidR="00000000" w:rsidRPr="00000000">
        <w:rPr>
          <w:rFonts w:ascii="Century Gothic" w:cs="Century Gothic" w:eastAsia="Century Gothic" w:hAnsi="Century Gothic"/>
          <w:sz w:val="24"/>
          <w:szCs w:val="24"/>
          <w:rtl w:val="0"/>
        </w:rPr>
        <w:t xml:space="preserve"> Trust</w:t>
      </w:r>
      <w:r w:rsidDel="00000000" w:rsidR="00000000" w:rsidRPr="00000000">
        <w:rPr>
          <w:rFonts w:ascii="Century Gothic" w:cs="Century Gothic" w:eastAsia="Century Gothic" w:hAnsi="Century Gothic"/>
          <w:color w:val="000000"/>
          <w:sz w:val="24"/>
          <w:szCs w:val="24"/>
          <w:rtl w:val="0"/>
        </w:rPr>
        <w:t xml:space="preserve"> ensures it has due regard to equality considerations whenever significant  decisions are made.  </w:t>
      </w:r>
    </w:p>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pacing w:before="125" w:line="228" w:lineRule="auto"/>
        <w:ind w:left="0" w:right="948"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School always considers the impact of significant decisions on particular groups. For  example, when a School trip or activity is being planned, the School considers whether the  trip:  </w:t>
      </w:r>
    </w:p>
    <w:p w:rsidR="00000000" w:rsidDel="00000000" w:rsidP="00000000" w:rsidRDefault="00000000" w:rsidRPr="00000000" w14:paraId="00000069">
      <w:pPr>
        <w:widowControl w:val="0"/>
        <w:numPr>
          <w:ilvl w:val="0"/>
          <w:numId w:val="1"/>
        </w:numPr>
        <w:pBdr>
          <w:top w:space="0" w:sz="0" w:val="nil"/>
          <w:left w:space="0" w:sz="0" w:val="nil"/>
          <w:bottom w:space="0" w:sz="0" w:val="nil"/>
          <w:right w:space="0" w:sz="0" w:val="nil"/>
          <w:between w:space="0" w:sz="0" w:val="nil"/>
        </w:pBdr>
        <w:spacing w:after="0" w:before="142" w:line="24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Cuts across any religious holidays </w:t>
      </w:r>
    </w:p>
    <w:p w:rsidR="00000000" w:rsidDel="00000000" w:rsidP="00000000" w:rsidRDefault="00000000" w:rsidRPr="00000000" w14:paraId="0000006A">
      <w:pPr>
        <w:widowControl w:val="0"/>
        <w:numPr>
          <w:ilvl w:val="0"/>
          <w:numId w:val="1"/>
        </w:numPr>
        <w:pBdr>
          <w:top w:space="0" w:sz="0" w:val="nil"/>
          <w:left w:space="0" w:sz="0" w:val="nil"/>
          <w:bottom w:space="0" w:sz="0" w:val="nil"/>
          <w:right w:space="0" w:sz="0" w:val="nil"/>
          <w:between w:space="0" w:sz="0" w:val="nil"/>
        </w:pBdr>
        <w:spacing w:after="0" w:before="0" w:line="24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Is accessible to pupils with disabilities </w:t>
      </w:r>
    </w:p>
    <w:p w:rsidR="00000000" w:rsidDel="00000000" w:rsidP="00000000" w:rsidRDefault="00000000" w:rsidRPr="00000000" w14:paraId="0000006B">
      <w:pPr>
        <w:widowControl w:val="0"/>
        <w:numPr>
          <w:ilvl w:val="0"/>
          <w:numId w:val="1"/>
        </w:numPr>
        <w:pBdr>
          <w:top w:space="0" w:sz="0" w:val="nil"/>
          <w:left w:space="0" w:sz="0" w:val="nil"/>
          <w:bottom w:space="0" w:sz="0" w:val="nil"/>
          <w:right w:space="0" w:sz="0" w:val="nil"/>
          <w:between w:space="0" w:sz="0" w:val="nil"/>
        </w:pBdr>
        <w:spacing w:before="0" w:line="24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Has equivalent facilities for boys and girls. </w:t>
      </w:r>
    </w:p>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before="111" w:line="229" w:lineRule="auto"/>
        <w:ind w:left="0" w:right="802" w:firstLine="0"/>
        <w:rPr>
          <w:rFonts w:ascii="Century Gothic" w:cs="Century Gothic" w:eastAsia="Century Gothic" w:hAnsi="Century Gothic"/>
          <w:color w:val="000000"/>
          <w:sz w:val="24"/>
          <w:szCs w:val="24"/>
        </w:rPr>
        <w:sectPr>
          <w:type w:val="continuous"/>
          <w:pgSz w:h="16820" w:w="11900" w:orient="portrait"/>
          <w:pgMar w:bottom="755" w:top="750" w:left="1322" w:right="659" w:header="0" w:footer="720"/>
        </w:sectPr>
      </w:pPr>
      <w:r w:rsidDel="00000000" w:rsidR="00000000" w:rsidRPr="00000000">
        <w:rPr>
          <w:rFonts w:ascii="Century Gothic" w:cs="Century Gothic" w:eastAsia="Century Gothic" w:hAnsi="Century Gothic"/>
          <w:color w:val="000000"/>
          <w:sz w:val="24"/>
          <w:szCs w:val="24"/>
          <w:rtl w:val="0"/>
        </w:rPr>
        <w:t xml:space="preserve">The School keeps a written record (known as an Equality Impact Assessment) to show we  have actively considered our equality duties and asked ourselves relevant questions. This is  recorded at the same time as the risk assessment when planning School trips and activities.  The record is completed by the member of staff organising the activity and is stored  electronically with the completed risk assessmen</w:t>
      </w:r>
      <w:r w:rsidDel="00000000" w:rsidR="00000000" w:rsidRPr="00000000">
        <w:rPr>
          <w:rFonts w:ascii="Century Gothic" w:cs="Century Gothic" w:eastAsia="Century Gothic" w:hAnsi="Century Gothic"/>
          <w:sz w:val="24"/>
          <w:szCs w:val="24"/>
          <w:rtl w:val="0"/>
        </w:rPr>
        <w:t xml:space="preserve">t.</w:t>
      </w:r>
      <w:r w:rsidDel="00000000" w:rsidR="00000000" w:rsidRPr="00000000">
        <w:rPr>
          <w:rtl w:val="0"/>
        </w:rPr>
      </w:r>
    </w:p>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before="1968" w:line="240" w:lineRule="auto"/>
        <w:rPr>
          <w:rFonts w:ascii="Century Gothic" w:cs="Century Gothic" w:eastAsia="Century Gothic" w:hAnsi="Century Gothic"/>
          <w:b w:val="1"/>
          <w:bCs w:val="1"/>
          <w:color w:val="000000"/>
          <w:sz w:val="24"/>
          <w:szCs w:val="24"/>
          <w:highlight w:val="white"/>
        </w:rPr>
        <w:sectPr>
          <w:type w:val="continuous"/>
          <w:pgSz w:h="16820" w:w="11900" w:orient="portrait"/>
          <w:pgMar w:bottom="755" w:top="750" w:left="1449" w:right="654" w:header="0" w:footer="720"/>
          <w:cols w:equalWidth="0" w:num="2">
            <w:col w:space="0" w:w="4898.5"/>
            <w:col w:space="0" w:w="4898.5"/>
          </w:cols>
        </w:sectPr>
      </w:pPr>
      <w:r w:rsidDel="00000000" w:rsidR="00000000" w:rsidRPr="00000000">
        <w:rPr>
          <w:rtl w:val="0"/>
        </w:rPr>
      </w:r>
    </w:p>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before="396" w:line="230" w:lineRule="auto"/>
        <w:ind w:left="0" w:right="898" w:firstLine="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8. Equality Objectives 2024-2025</w:t>
      </w:r>
    </w:p>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before="396" w:line="230" w:lineRule="auto"/>
        <w:ind w:left="0" w:right="898"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Objective 1: Undertake an analysis of recruitment data and trends with regard to race, gender and disability, and report on this to the staffing and pay sub-committee of the Board  of Trustees. </w:t>
      </w:r>
    </w:p>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before="486" w:line="228" w:lineRule="auto"/>
        <w:ind w:left="119" w:right="936" w:firstLine="5.9999999999999964"/>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Objective 2: Have in place a reasonable adjustment agreement for all staff with disabilities,  to meet their needs better and ensure that any disadvantages they experience are  addressed. </w:t>
      </w:r>
    </w:p>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before="486" w:line="228" w:lineRule="auto"/>
        <w:ind w:left="115" w:right="1342" w:firstLine="9.000000000000004"/>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Objective 3: Ensure the representation of teachers from local black and minority ethnic communities over a 4-year period, so that this group is at least 35% of the teaching  workforce. </w:t>
      </w:r>
    </w:p>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before="491" w:line="240" w:lineRule="auto"/>
        <w:ind w:left="125"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Objective </w:t>
      </w:r>
      <w:r w:rsidDel="00000000" w:rsidR="00000000" w:rsidRPr="00000000">
        <w:rPr>
          <w:rFonts w:ascii="Century Gothic" w:cs="Century Gothic" w:eastAsia="Century Gothic" w:hAnsi="Century Gothic"/>
          <w:sz w:val="24"/>
          <w:szCs w:val="24"/>
          <w:rtl w:val="0"/>
        </w:rPr>
        <w:t xml:space="preserve">4</w:t>
      </w:r>
      <w:r w:rsidDel="00000000" w:rsidR="00000000" w:rsidRPr="00000000">
        <w:rPr>
          <w:rFonts w:ascii="Century Gothic" w:cs="Century Gothic" w:eastAsia="Century Gothic" w:hAnsi="Century Gothic"/>
          <w:color w:val="000000"/>
          <w:sz w:val="24"/>
          <w:szCs w:val="24"/>
          <w:rtl w:val="0"/>
        </w:rPr>
        <w:t xml:space="preserve"> </w:t>
      </w:r>
    </w:p>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before="111" w:line="230" w:lineRule="auto"/>
        <w:ind w:left="122" w:right="1046" w:firstLine="13.000000000000007"/>
        <w:rPr>
          <w:rFonts w:ascii="Century Gothic" w:cs="Century Gothic" w:eastAsia="Century Gothic" w:hAnsi="Century Gothic"/>
          <w:color w:val="000000"/>
          <w:sz w:val="24"/>
          <w:szCs w:val="24"/>
        </w:rPr>
        <w:sectPr>
          <w:type w:val="continuous"/>
          <w:pgSz w:h="16820" w:w="11900" w:orient="portrait"/>
          <w:pgMar w:bottom="755" w:top="750" w:left="1322" w:right="659" w:header="0" w:footer="720"/>
        </w:sectPr>
      </w:pPr>
      <w:r w:rsidDel="00000000" w:rsidR="00000000" w:rsidRPr="00000000">
        <w:rPr>
          <w:rFonts w:ascii="Century Gothic" w:cs="Century Gothic" w:eastAsia="Century Gothic" w:hAnsi="Century Gothic"/>
          <w:color w:val="000000"/>
          <w:sz w:val="24"/>
          <w:szCs w:val="24"/>
          <w:rtl w:val="0"/>
        </w:rPr>
        <w:t xml:space="preserve">Include the 'Two Ticks' positive about people with disabilities symbol on all job adverts,  application forms and information to help address the under-representation of people with disabilities in the School workforce.</w:t>
      </w:r>
    </w:p>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before="2343" w:line="240" w:lineRule="auto"/>
        <w:rPr>
          <w:rFonts w:ascii="Century Gothic" w:cs="Century Gothic" w:eastAsia="Century Gothic" w:hAnsi="Century Gothic"/>
          <w:b w:val="1"/>
          <w:bCs w:val="1"/>
          <w:color w:val="000000"/>
          <w:sz w:val="24"/>
          <w:szCs w:val="24"/>
        </w:rPr>
        <w:sectPr>
          <w:type w:val="continuous"/>
          <w:pgSz w:h="16820" w:w="11900" w:orient="portrait"/>
          <w:pgMar w:bottom="755" w:top="750" w:left="1446" w:right="654" w:header="0" w:footer="720"/>
          <w:cols w:equalWidth="0" w:num="2">
            <w:col w:space="0" w:w="4900.000000000001"/>
            <w:col w:space="0" w:w="4900.000000000001"/>
          </w:cols>
        </w:sectPr>
      </w:pPr>
      <w:r w:rsidDel="00000000" w:rsidR="00000000" w:rsidRPr="00000000">
        <w:rPr>
          <w:rFonts w:ascii="Century Gothic" w:cs="Century Gothic" w:eastAsia="Century Gothic" w:hAnsi="Century Gothic"/>
          <w:b w:val="1"/>
          <w:bCs w:val="1"/>
          <w:color w:val="000000"/>
          <w:sz w:val="24"/>
          <w:szCs w:val="24"/>
          <w:rtl w:val="0"/>
        </w:rPr>
        <w:t xml:space="preserve">9. </w:t>
      </w:r>
      <w:r w:rsidDel="00000000" w:rsidR="00000000" w:rsidRPr="00000000">
        <w:rPr>
          <w:rFonts w:ascii="Century Gothic" w:cs="Century Gothic" w:eastAsia="Century Gothic" w:hAnsi="Century Gothic"/>
          <w:b w:val="1"/>
          <w:bCs w:val="1"/>
          <w:sz w:val="24"/>
          <w:szCs w:val="24"/>
          <w:rtl w:val="0"/>
        </w:rPr>
        <w:t xml:space="preserve">M</w:t>
      </w:r>
      <w:r w:rsidDel="00000000" w:rsidR="00000000" w:rsidRPr="00000000">
        <w:rPr>
          <w:rFonts w:ascii="Century Gothic" w:cs="Century Gothic" w:eastAsia="Century Gothic" w:hAnsi="Century Gothic"/>
          <w:b w:val="1"/>
          <w:bCs w:val="1"/>
          <w:color w:val="000000"/>
          <w:sz w:val="24"/>
          <w:szCs w:val="24"/>
          <w:rtl w:val="0"/>
        </w:rPr>
        <w:t xml:space="preserve">onitoring arrangements </w:t>
      </w:r>
    </w:p>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before="770" w:line="336" w:lineRule="auto"/>
        <w:ind w:left="120" w:right="1091"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Board of Trustees will update the equality information we publish at least every year. This document will be reviewed </w:t>
      </w:r>
      <w:r w:rsidDel="00000000" w:rsidR="00000000" w:rsidRPr="00000000">
        <w:rPr>
          <w:rFonts w:ascii="Century Gothic" w:cs="Century Gothic" w:eastAsia="Century Gothic" w:hAnsi="Century Gothic"/>
          <w:sz w:val="24"/>
          <w:szCs w:val="24"/>
          <w:rtl w:val="0"/>
        </w:rPr>
        <w:t xml:space="preserve">by the Board</w:t>
      </w:r>
      <w:r w:rsidDel="00000000" w:rsidR="00000000" w:rsidRPr="00000000">
        <w:rPr>
          <w:rFonts w:ascii="Century Gothic" w:cs="Century Gothic" w:eastAsia="Century Gothic" w:hAnsi="Century Gothic"/>
          <w:color w:val="000000"/>
          <w:sz w:val="24"/>
          <w:szCs w:val="24"/>
          <w:rtl w:val="0"/>
        </w:rPr>
        <w:t xml:space="preserve"> of Trustees at least every 4 years. This document will be approved by the Headteacher. </w:t>
      </w:r>
    </w:p>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before="402" w:line="240" w:lineRule="auto"/>
        <w:ind w:left="137" w:firstLine="0"/>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10. Links with other policies </w:t>
      </w:r>
    </w:p>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before="116" w:line="240" w:lineRule="auto"/>
        <w:ind w:left="1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This document links to the following policies: </w:t>
      </w:r>
    </w:p>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before="126" w:line="240" w:lineRule="auto"/>
        <w:ind w:left="486"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 Accessibility plan </w:t>
      </w:r>
    </w:p>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before="11" w:line="240" w:lineRule="auto"/>
        <w:ind w:left="486"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 Risk assessment.</w:t>
      </w:r>
    </w:p>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before="3" w:line="240" w:lineRule="auto"/>
        <w:ind w:right="785"/>
        <w:jc w:val="right"/>
        <w:rPr>
          <w:rFonts w:ascii="Calibri" w:cs="Calibri" w:eastAsia="Calibri" w:hAnsi="Calibri"/>
          <w:color w:val="767171"/>
          <w:sz w:val="18"/>
          <w:szCs w:val="18"/>
        </w:rPr>
      </w:pPr>
      <w:r w:rsidDel="00000000" w:rsidR="00000000" w:rsidRPr="00000000">
        <w:rPr>
          <w:rtl w:val="0"/>
        </w:rPr>
      </w:r>
    </w:p>
    <w:sectPr>
      <w:type w:val="continuous"/>
      <w:pgSz w:h="16820" w:w="11900" w:orient="portrait"/>
      <w:pgMar w:bottom="755" w:top="750" w:left="1322" w:right="659"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4886325</wp:posOffset>
          </wp:positionH>
          <wp:positionV relativeFrom="paragraph">
            <wp:posOffset>114300</wp:posOffset>
          </wp:positionV>
          <wp:extent cx="1895475" cy="1114425"/>
          <wp:effectExtent b="0" l="0" r="0" t="0"/>
          <wp:wrapSquare wrapText="bothSides" distB="114300" distT="114300" distL="114300" distR="114300"/>
          <wp:docPr id="11" name="image3.png"/>
          <a:graphic>
            <a:graphicData uri="http://schemas.openxmlformats.org/drawingml/2006/picture">
              <pic:pic>
                <pic:nvPicPr>
                  <pic:cNvPr id="0" name="image3.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B">
    <w:pPr>
      <w:rPr/>
    </w:pPr>
    <w:r w:rsidDel="00000000" w:rsidR="00000000" w:rsidRPr="00000000">
      <w:rPr/>
      <w:drawing>
        <wp:anchor allowOverlap="1" behindDoc="0" distB="114300" distT="114300" distL="114300" distR="114300" hidden="0" layoutInCell="1" locked="0" relativeHeight="0" simplePos="0">
          <wp:simplePos x="0" y="0"/>
          <wp:positionH relativeFrom="page">
            <wp:posOffset>-10794</wp:posOffset>
          </wp:positionH>
          <wp:positionV relativeFrom="page">
            <wp:posOffset>0</wp:posOffset>
          </wp:positionV>
          <wp:extent cx="2505075" cy="1514475"/>
          <wp:effectExtent b="0" l="0" r="0" t="0"/>
          <wp:wrapSquare wrapText="bothSides" distB="114300" distT="114300" distL="114300" distR="114300"/>
          <wp:docPr id="12"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a" w:customStyle="1">
    <w:basedOn w:val="TableNormal"/>
    <w:tblPr>
      <w:tblStyleRowBandSize w:val="1"/>
      <w:tblStyleColBandSize w:val="1"/>
      <w:tblCellMar>
        <w:left w:w="0.0" w:type="dxa"/>
        <w:right w:w="0.0" w:type="dxa"/>
      </w:tblCellMar>
    </w:tblPr>
  </w:style>
  <w:style w:type="table" w:styleId="a0" w:customStyle="1">
    <w:basedOn w:val="TableNormal"/>
    <w:tblPr>
      <w:tblStyleRowBandSize w:val="1"/>
      <w:tblStyleColBandSize w:val="1"/>
      <w:tblCellMar>
        <w:left w:w="0.0" w:type="dxa"/>
        <w:right w:w="0.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header" Target="head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uVB8SGxcO/+gZow/v300mJL5Gw==">CgMxLjA4AHIhMXVrb3ktbjRRNG5RMHhzMG42YlM0UE1INHJPYlJzeWIy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2023-09-25T10:55:00Z</dcterms:created>
  <dc:creator>Monfries, Dean</dc:creator>
</cp:coreProperties>
</file>