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9">
                            <a:alphaModFix/>
                          </a:blip>
                          <a:stretch>
                            <a:fillRect/>
                          </a:stretch>
                        </pic:blipFill>
                        <pic:spPr>
                          <a:xfrm>
                            <a:off x="152400" y="152400"/>
                            <a:ext cx="6249593" cy="8839204"/>
                          </a:xfrm>
                          <a:prstGeom prst="rect">
                            <a:avLst/>
                          </a:prstGeom>
                          <a:noFill/>
                          <a:ln>
                            <a:noFill/>
                          </a:ln>
                        </pic:spPr>
                      </pic:pic>
                      <wps:wsp>
                        <wps:cNvSpPr txBox="1"/>
                        <wps:cNvPr id="3" name="Shape 3"/>
                        <wps:spPr>
                          <a:xfrm>
                            <a:off x="1126650" y="5667100"/>
                            <a:ext cx="43011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Accessibility</w:t>
                              </w:r>
                              <w:r w:rsidDel="00000000" w:rsidR="00000000" w:rsidRPr="00000000">
                                <w:rPr>
                                  <w:rFonts w:ascii="Century Gothic" w:cs="Century Gothic" w:eastAsia="Century Gothic" w:hAnsi="Century Gothic"/>
                                  <w:b w:val="1"/>
                                  <w:i w:val="0"/>
                                  <w:smallCaps w:val="0"/>
                                  <w:strike w:val="0"/>
                                  <w:color w:val="ffffff"/>
                                  <w:sz w:val="64"/>
                                  <w:vertAlign w:val="baseline"/>
                                </w:rPr>
                                <w:t xml:space="preserve"> Plan</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w:t>
        <w:tab/>
        <w:tab/>
        <w:t xml:space="preserve">  </w:t>
      </w:r>
      <w:r w:rsidDel="00000000" w:rsidR="00000000" w:rsidRPr="00000000">
        <w:rPr>
          <w:rtl w:val="0"/>
        </w:rPr>
      </w:r>
    </w:p>
    <w:tbl>
      <w:tblPr>
        <w:tblStyle w:val="Table1"/>
        <w:tblpPr w:leftFromText="180" w:rightFromText="180" w:topFromText="180" w:bottomFromText="180" w:vertAnchor="text" w:horzAnchor="text" w:tblpX="1965" w:tblpY="632.87109375"/>
        <w:tblW w:w="58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5"/>
        <w:gridCol w:w="3255"/>
        <w:tblGridChange w:id="0">
          <w:tblGrid>
            <w:gridCol w:w="2565"/>
            <w:gridCol w:w="3255"/>
          </w:tblGrid>
        </w:tblGridChange>
      </w:tblGrid>
      <w:tr>
        <w:trPr>
          <w:cantSplit w:val="0"/>
          <w:trHeight w:val="808" w:hRule="atLeast"/>
          <w:tblHeader w:val="0"/>
        </w:trPr>
        <w:tc>
          <w:tcPr>
            <w:shd w:fill="d9d9d9" w:val="clear"/>
          </w:tcPr>
          <w:p w:rsidR="00000000" w:rsidDel="00000000" w:rsidP="00000000" w:rsidRDefault="00000000" w:rsidRPr="00000000" w14:paraId="00000004">
            <w:pPr>
              <w:spacing w:after="120" w:before="120"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Name of Policy</w:t>
            </w:r>
          </w:p>
        </w:tc>
        <w:tc>
          <w:tcPr>
            <w:shd w:fill="d9d9d9" w:val="clear"/>
          </w:tcPr>
          <w:p w:rsidR="00000000" w:rsidDel="00000000" w:rsidP="00000000" w:rsidRDefault="00000000" w:rsidRPr="00000000" w14:paraId="00000005">
            <w:pP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Accessibility Plan</w:t>
            </w:r>
          </w:p>
        </w:tc>
      </w:tr>
      <w:tr>
        <w:trPr>
          <w:cantSplit w:val="0"/>
          <w:trHeight w:val="775.95703125" w:hRule="atLeast"/>
          <w:tblHeader w:val="0"/>
        </w:trPr>
        <w:tc>
          <w:tcPr/>
          <w:p w:rsidR="00000000" w:rsidDel="00000000" w:rsidP="00000000" w:rsidRDefault="00000000" w:rsidRPr="00000000" w14:paraId="00000006">
            <w:pPr>
              <w:spacing w:after="120" w:before="120"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Policy Level</w:t>
            </w:r>
          </w:p>
        </w:tc>
        <w:tc>
          <w:tcPr/>
          <w:p w:rsidR="00000000" w:rsidDel="00000000" w:rsidP="00000000" w:rsidRDefault="00000000" w:rsidRPr="00000000" w14:paraId="00000007">
            <w:pP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Trust and school</w:t>
            </w:r>
          </w:p>
        </w:tc>
      </w:tr>
      <w:tr>
        <w:trPr>
          <w:cantSplit w:val="0"/>
          <w:trHeight w:val="780" w:hRule="atLeast"/>
          <w:tblHeader w:val="0"/>
        </w:trPr>
        <w:tc>
          <w:tcPr/>
          <w:p w:rsidR="00000000" w:rsidDel="00000000" w:rsidP="00000000" w:rsidRDefault="00000000" w:rsidRPr="00000000" w14:paraId="00000008">
            <w:pPr>
              <w:spacing w:after="120" w:before="120"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Date of Issue </w:t>
            </w:r>
          </w:p>
        </w:tc>
        <w:tc>
          <w:tcPr/>
          <w:p w:rsidR="00000000" w:rsidDel="00000000" w:rsidP="00000000" w:rsidRDefault="00000000" w:rsidRPr="00000000" w14:paraId="00000009">
            <w:pP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September 2025</w:t>
            </w:r>
          </w:p>
        </w:tc>
      </w:tr>
      <w:tr>
        <w:trPr>
          <w:cantSplit w:val="0"/>
          <w:trHeight w:val="808" w:hRule="atLeast"/>
          <w:tblHeader w:val="0"/>
        </w:trPr>
        <w:tc>
          <w:tcPr/>
          <w:p w:rsidR="00000000" w:rsidDel="00000000" w:rsidP="00000000" w:rsidRDefault="00000000" w:rsidRPr="00000000" w14:paraId="0000000A">
            <w:pPr>
              <w:spacing w:after="120" w:before="120"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Author</w:t>
            </w:r>
          </w:p>
        </w:tc>
        <w:tc>
          <w:tcPr/>
          <w:p w:rsidR="00000000" w:rsidDel="00000000" w:rsidP="00000000" w:rsidRDefault="00000000" w:rsidRPr="00000000" w14:paraId="0000000B">
            <w:pP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Samantha Hoyer</w:t>
            </w:r>
          </w:p>
        </w:tc>
      </w:tr>
      <w:tr>
        <w:trPr>
          <w:cantSplit w:val="0"/>
          <w:trHeight w:val="808" w:hRule="atLeast"/>
          <w:tblHeader w:val="0"/>
        </w:trPr>
        <w:tc>
          <w:tcPr/>
          <w:p w:rsidR="00000000" w:rsidDel="00000000" w:rsidP="00000000" w:rsidRDefault="00000000" w:rsidRPr="00000000" w14:paraId="0000000C">
            <w:pPr>
              <w:spacing w:after="120" w:before="120"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Date of Next Review</w:t>
            </w:r>
          </w:p>
        </w:tc>
        <w:tc>
          <w:tcPr/>
          <w:p w:rsidR="00000000" w:rsidDel="00000000" w:rsidP="00000000" w:rsidRDefault="00000000" w:rsidRPr="00000000" w14:paraId="0000000D">
            <w:pP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September 2026</w:t>
            </w:r>
          </w:p>
        </w:tc>
      </w:tr>
      <w:tr>
        <w:trPr>
          <w:cantSplit w:val="0"/>
          <w:trHeight w:val="808" w:hRule="atLeast"/>
          <w:tblHeader w:val="0"/>
        </w:trPr>
        <w:tc>
          <w:tcPr/>
          <w:p w:rsidR="00000000" w:rsidDel="00000000" w:rsidP="00000000" w:rsidRDefault="00000000" w:rsidRPr="00000000" w14:paraId="0000000E">
            <w:pPr>
              <w:spacing w:after="120" w:before="120"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Signature</w:t>
            </w:r>
          </w:p>
        </w:tc>
        <w:tc>
          <w:tcPr/>
          <w:p w:rsidR="00000000" w:rsidDel="00000000" w:rsidP="00000000" w:rsidRDefault="00000000" w:rsidRPr="00000000" w14:paraId="0000000F">
            <w:pP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Samantha Hoyer</w:t>
            </w:r>
          </w:p>
        </w:tc>
      </w:tr>
      <w:tr>
        <w:trPr>
          <w:cantSplit w:val="0"/>
          <w:trHeight w:val="780" w:hRule="atLeast"/>
          <w:tblHeader w:val="0"/>
        </w:trPr>
        <w:tc>
          <w:tcPr/>
          <w:p w:rsidR="00000000" w:rsidDel="00000000" w:rsidP="00000000" w:rsidRDefault="00000000" w:rsidRPr="00000000" w14:paraId="00000010">
            <w:pPr>
              <w:spacing w:after="120" w:before="120"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Date of Signature</w:t>
            </w:r>
          </w:p>
        </w:tc>
        <w:tc>
          <w:tcPr/>
          <w:p w:rsidR="00000000" w:rsidDel="00000000" w:rsidP="00000000" w:rsidRDefault="00000000" w:rsidRPr="00000000" w14:paraId="00000011">
            <w:pP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September 2025</w:t>
            </w:r>
          </w:p>
        </w:tc>
      </w:tr>
    </w:tbl>
    <w:p w:rsidR="00000000" w:rsidDel="00000000" w:rsidP="00000000" w:rsidRDefault="00000000" w:rsidRPr="00000000" w14:paraId="00000012">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3">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4">
      <w:pPr>
        <w:jc w:val="center"/>
        <w:rPr>
          <w:rFonts w:ascii="Century Gothic" w:cs="Century Gothic" w:eastAsia="Century Gothic" w:hAnsi="Century Gothic"/>
          <w:b w:val="1"/>
          <w:bCs w:val="1"/>
          <w:sz w:val="32"/>
          <w:szCs w:val="32"/>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b w:val="1"/>
          <w:bCs w:val="1"/>
          <w:sz w:val="32"/>
          <w:szCs w:val="32"/>
        </w:rPr>
      </w:pPr>
      <w:r w:rsidDel="00000000" w:rsidR="00000000" w:rsidRPr="00000000">
        <w:rPr>
          <w:rtl w:val="0"/>
        </w:rPr>
      </w:r>
    </w:p>
    <w:p w:rsidR="00000000" w:rsidDel="00000000" w:rsidP="00000000" w:rsidRDefault="00000000" w:rsidRPr="00000000" w14:paraId="00000016">
      <w:pPr>
        <w:jc w:val="center"/>
        <w:rPr>
          <w:rFonts w:ascii="Century Gothic" w:cs="Century Gothic" w:eastAsia="Century Gothic" w:hAnsi="Century Gothic"/>
          <w:b w:val="1"/>
          <w:bCs w:val="1"/>
          <w:sz w:val="32"/>
          <w:szCs w:val="32"/>
        </w:rPr>
      </w:pPr>
      <w:r w:rsidDel="00000000" w:rsidR="00000000" w:rsidRPr="00000000">
        <w:rPr>
          <w:rtl w:val="0"/>
        </w:rPr>
      </w:r>
    </w:p>
    <w:p w:rsidR="00000000" w:rsidDel="00000000" w:rsidP="00000000" w:rsidRDefault="00000000" w:rsidRPr="00000000" w14:paraId="00000017">
      <w:pPr>
        <w:jc w:val="center"/>
        <w:rPr>
          <w:rFonts w:ascii="Century Gothic" w:cs="Century Gothic" w:eastAsia="Century Gothic" w:hAnsi="Century Gothic"/>
          <w:b w:val="1"/>
          <w:bCs w:val="1"/>
          <w:sz w:val="32"/>
          <w:szCs w:val="32"/>
        </w:rPr>
      </w:pPr>
      <w:r w:rsidDel="00000000" w:rsidR="00000000" w:rsidRPr="00000000">
        <w:rPr>
          <w:rtl w:val="0"/>
        </w:rPr>
      </w:r>
    </w:p>
    <w:p w:rsidR="00000000" w:rsidDel="00000000" w:rsidP="00000000" w:rsidRDefault="00000000" w:rsidRPr="00000000" w14:paraId="00000018">
      <w:pPr>
        <w:jc w:val="center"/>
        <w:rPr>
          <w:rFonts w:ascii="Century Gothic" w:cs="Century Gothic" w:eastAsia="Century Gothic" w:hAnsi="Century Gothic"/>
          <w:b w:val="1"/>
          <w:bCs w:val="1"/>
          <w:sz w:val="32"/>
          <w:szCs w:val="32"/>
        </w:rPr>
      </w:pPr>
      <w:r w:rsidDel="00000000" w:rsidR="00000000" w:rsidRPr="00000000">
        <w:rPr>
          <w:rtl w:val="0"/>
        </w:rPr>
      </w:r>
    </w:p>
    <w:p w:rsidR="00000000" w:rsidDel="00000000" w:rsidP="00000000" w:rsidRDefault="00000000" w:rsidRPr="00000000" w14:paraId="00000019">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B">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r w:rsidDel="00000000" w:rsidR="00000000" w:rsidRPr="00000000">
        <w:br w:type="page"/>
      </w:r>
      <w:r w:rsidDel="00000000" w:rsidR="00000000" w:rsidRPr="00000000">
        <w:rPr>
          <w:rFonts w:ascii="Century Gothic" w:cs="Century Gothic" w:eastAsia="Century Gothic" w:hAnsi="Century Gothic"/>
          <w:b w:val="1"/>
          <w:bCs w:val="1"/>
          <w:color w:val="000000"/>
          <w:sz w:val="28"/>
          <w:szCs w:val="28"/>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4819650</wp:posOffset>
            </wp:positionH>
            <wp:positionV relativeFrom="paragraph">
              <wp:posOffset>6115050</wp:posOffset>
            </wp:positionV>
            <wp:extent cx="1895475" cy="1114425"/>
            <wp:effectExtent b="0" l="0" r="0" t="0"/>
            <wp:wrapSquare wrapText="bothSides" distB="114300" distT="114300" distL="114300" distR="114300"/>
            <wp:docPr id="15" name="image2.png"/>
            <a:graphic>
              <a:graphicData uri="http://schemas.openxmlformats.org/drawingml/2006/picture">
                <pic:pic>
                  <pic:nvPicPr>
                    <pic:cNvPr id="0" name="image2.png"/>
                    <pic:cNvPicPr preferRelativeResize="0"/>
                  </pic:nvPicPr>
                  <pic:blipFill>
                    <a:blip r:embed="rId11"/>
                    <a:srcRect b="0" l="66943" r="0" t="86251"/>
                    <a:stretch>
                      <a:fillRect/>
                    </a:stretch>
                  </pic:blipFill>
                  <pic:spPr>
                    <a:xfrm>
                      <a:off x="0" y="0"/>
                      <a:ext cx="1895475" cy="1114425"/>
                    </a:xfrm>
                    <a:prstGeom prst="rect"/>
                    <a:ln/>
                  </pic:spPr>
                </pic:pic>
              </a:graphicData>
            </a:graphic>
          </wp:anchor>
        </w:drawing>
      </w:r>
    </w:p>
    <w:p w:rsidR="00000000" w:rsidDel="00000000" w:rsidP="00000000" w:rsidRDefault="00000000" w:rsidRPr="00000000" w14:paraId="0000001C">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bCs w:val="1"/>
          <w:color w:val="000000"/>
          <w:sz w:val="32"/>
          <w:szCs w:val="32"/>
        </w:rPr>
      </w:pPr>
      <w:r w:rsidDel="00000000" w:rsidR="00000000" w:rsidRPr="00000000">
        <w:rPr>
          <w:rFonts w:ascii="Century Gothic" w:cs="Century Gothic" w:eastAsia="Century Gothic" w:hAnsi="Century Gothic"/>
          <w:b w:val="1"/>
          <w:bCs w:val="1"/>
          <w:color w:val="000000"/>
          <w:sz w:val="32"/>
          <w:szCs w:val="32"/>
          <w:rtl w:val="0"/>
        </w:rPr>
        <w:t xml:space="preserve">Table of Contents</w:t>
      </w:r>
    </w:p>
    <w:sdt>
      <w:sdtPr>
        <w:id w:val="1506622739"/>
        <w:docPartObj>
          <w:docPartGallery w:val="Table of Contents"/>
          <w:docPartUnique w:val="1"/>
        </w:docPartObj>
      </w:sdtPr>
      <w:sdtContent>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right" w:leader="none" w:pos="9010"/>
            </w:tabs>
            <w:spacing w:before="120" w:lineRule="auto"/>
            <w:rPr>
              <w:rFonts w:ascii="Century Gothic" w:cs="Century Gothic" w:eastAsia="Century Gothic" w:hAnsi="Century Gothic"/>
              <w:color w:val="000000"/>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entury Gothic" w:cs="Century Gothic" w:eastAsia="Century Gothic" w:hAnsi="Century Gothic"/>
                <w:b w:val="1"/>
                <w:bCs w:val="1"/>
                <w:i w:val="1"/>
                <w:iCs w:val="1"/>
                <w:color w:val="000000"/>
                <w:rtl w:val="0"/>
              </w:rPr>
              <w:t xml:space="preserve">1. Aims</w:t>
              <w:tab/>
              <w:t xml:space="preserve">4</w:t>
            </w:r>
          </w:hyperlink>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right" w:leader="none" w:pos="9010"/>
            </w:tabs>
            <w:spacing w:before="120" w:lineRule="auto"/>
            <w:rPr>
              <w:rFonts w:ascii="Century Gothic" w:cs="Century Gothic" w:eastAsia="Century Gothic" w:hAnsi="Century Gothic"/>
              <w:color w:val="000000"/>
            </w:rPr>
          </w:pPr>
          <w:hyperlink w:anchor="_heading=h.30j0zll">
            <w:r w:rsidDel="00000000" w:rsidR="00000000" w:rsidRPr="00000000">
              <w:rPr>
                <w:rFonts w:ascii="Century Gothic" w:cs="Century Gothic" w:eastAsia="Century Gothic" w:hAnsi="Century Gothic"/>
                <w:b w:val="1"/>
                <w:bCs w:val="1"/>
                <w:i w:val="1"/>
                <w:iCs w:val="1"/>
                <w:color w:val="000000"/>
                <w:rtl w:val="0"/>
              </w:rPr>
              <w:t xml:space="preserve">2. Legislation and guidance</w:t>
              <w:tab/>
              <w:t xml:space="preserve">4</w:t>
            </w:r>
          </w:hyperlink>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right" w:leader="none" w:pos="9010"/>
            </w:tabs>
            <w:spacing w:before="120" w:lineRule="auto"/>
            <w:rPr>
              <w:rFonts w:ascii="Century Gothic" w:cs="Century Gothic" w:eastAsia="Century Gothic" w:hAnsi="Century Gothic"/>
              <w:color w:val="000000"/>
            </w:rPr>
          </w:pPr>
          <w:hyperlink w:anchor="_heading=h.1fob9te">
            <w:r w:rsidDel="00000000" w:rsidR="00000000" w:rsidRPr="00000000">
              <w:rPr>
                <w:rFonts w:ascii="Century Gothic" w:cs="Century Gothic" w:eastAsia="Century Gothic" w:hAnsi="Century Gothic"/>
                <w:b w:val="1"/>
                <w:bCs w:val="1"/>
                <w:i w:val="1"/>
                <w:iCs w:val="1"/>
                <w:color w:val="000000"/>
                <w:rtl w:val="0"/>
              </w:rPr>
              <w:t xml:space="preserve">3. Action plan</w:t>
              <w:tab/>
              <w:t xml:space="preserve">5</w:t>
            </w:r>
          </w:hyperlink>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right" w:leader="none" w:pos="9010"/>
            </w:tabs>
            <w:spacing w:before="120" w:lineRule="auto"/>
            <w:rPr>
              <w:rFonts w:ascii="Century Gothic" w:cs="Century Gothic" w:eastAsia="Century Gothic" w:hAnsi="Century Gothic"/>
              <w:color w:val="000000"/>
            </w:rPr>
          </w:pPr>
          <w:hyperlink w:anchor="_heading=h.3znysh7">
            <w:r w:rsidDel="00000000" w:rsidR="00000000" w:rsidRPr="00000000">
              <w:rPr>
                <w:rFonts w:ascii="Century Gothic" w:cs="Century Gothic" w:eastAsia="Century Gothic" w:hAnsi="Century Gothic"/>
                <w:b w:val="1"/>
                <w:bCs w:val="1"/>
                <w:i w:val="1"/>
                <w:iCs w:val="1"/>
                <w:color w:val="000000"/>
                <w:rtl w:val="0"/>
              </w:rPr>
              <w:t xml:space="preserve">4. Monitoring arrangements</w:t>
              <w:tab/>
              <w:t xml:space="preserve">7</w:t>
            </w:r>
          </w:hyperlink>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right" w:leader="none" w:pos="9010"/>
            </w:tabs>
            <w:spacing w:before="120" w:lineRule="auto"/>
            <w:rPr>
              <w:rFonts w:ascii="Century Gothic" w:cs="Century Gothic" w:eastAsia="Century Gothic" w:hAnsi="Century Gothic"/>
              <w:color w:val="000000"/>
            </w:rPr>
          </w:pPr>
          <w:hyperlink w:anchor="_heading=h.2et92p0">
            <w:r w:rsidDel="00000000" w:rsidR="00000000" w:rsidRPr="00000000">
              <w:rPr>
                <w:rFonts w:ascii="Century Gothic" w:cs="Century Gothic" w:eastAsia="Century Gothic" w:hAnsi="Century Gothic"/>
                <w:b w:val="1"/>
                <w:bCs w:val="1"/>
                <w:i w:val="1"/>
                <w:iCs w:val="1"/>
                <w:color w:val="000000"/>
                <w:rtl w:val="0"/>
              </w:rPr>
              <w:t xml:space="preserve">5. Links with other policies</w:t>
              <w:tab/>
              <w:t xml:space="preserve">7</w:t>
            </w:r>
          </w:hyperlink>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right" w:leader="none" w:pos="9010"/>
            </w:tabs>
            <w:spacing w:before="120" w:lineRule="auto"/>
            <w:rPr>
              <w:rFonts w:ascii="Century Gothic" w:cs="Century Gothic" w:eastAsia="Century Gothic" w:hAnsi="Century Gothic"/>
              <w:color w:val="000000"/>
            </w:rPr>
          </w:pPr>
          <w:hyperlink w:anchor="_heading=h.tyjcwt">
            <w:r w:rsidDel="00000000" w:rsidR="00000000" w:rsidRPr="00000000">
              <w:rPr>
                <w:rFonts w:ascii="Century Gothic" w:cs="Century Gothic" w:eastAsia="Century Gothic" w:hAnsi="Century Gothic"/>
                <w:b w:val="1"/>
                <w:bCs w:val="1"/>
                <w:i w:val="1"/>
                <w:iCs w:val="1"/>
                <w:color w:val="000000"/>
                <w:rtl w:val="0"/>
              </w:rPr>
              <w:t xml:space="preserve">Appendix 1: Accessibility audit</w:t>
              <w:tab/>
              <w:t xml:space="preserve">8</w:t>
            </w:r>
          </w:hyperlink>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right" w:leader="none" w:pos="9010"/>
            </w:tabs>
            <w:spacing w:before="120" w:lineRule="auto"/>
            <w:rPr>
              <w:rFonts w:ascii="Century Gothic" w:cs="Century Gothic" w:eastAsia="Century Gothic" w:hAnsi="Century Gothic"/>
              <w:b w:val="1"/>
              <w:bCs w:val="1"/>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r w:rsidDel="00000000" w:rsidR="00000000" w:rsidRPr="00000000">
        <w:br w:type="page"/>
      </w:r>
      <w:r w:rsidDel="00000000" w:rsidR="00000000" w:rsidRPr="00000000">
        <w:rPr>
          <w:rFonts w:ascii="Century Gothic" w:cs="Century Gothic" w:eastAsia="Century Gothic" w:hAnsi="Century Gothic"/>
          <w:b w:val="1"/>
          <w:bCs w:val="1"/>
          <w:color w:val="000000"/>
          <w:sz w:val="28"/>
          <w:szCs w:val="28"/>
          <w:rtl w:val="0"/>
        </w:rPr>
        <w:t xml:space="preserve">1. Aims</w:t>
      </w:r>
    </w:p>
    <w:p w:rsidR="00000000" w:rsidDel="00000000" w:rsidP="00000000" w:rsidRDefault="00000000" w:rsidRPr="00000000" w14:paraId="00000025">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Schools are required under the Equality Act 2010 to have an accessibility plan. The purpose of the plan is to:</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Increase the extent to which disabled pupils can participate in the curriculum</w:t>
      </w:r>
      <w:r w:rsidDel="00000000" w:rsidR="00000000" w:rsidRPr="00000000">
        <w:rPr>
          <w:rtl w:val="0"/>
        </w:rPr>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Improve the physical environment of the school to enable disabled pupils to take better advantage of education, benefits, facilities and services provided</w:t>
      </w: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Improve the availability of accessible information to disabled pupils.</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Our school aims to treat all its pupils fairly and with respect. This involves providing access and opportunities for all pupils without discrimination of any kind.</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plan will be made available online on the Trust website, and paper copies are available upon request.</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Our school is also committed to ensuring staff are trained in equality issues with reference to the Equality Act 2010, including understanding disability issues.</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school supports any available partnerships to develop and implement the plan.</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Our school’s complaints procedure covers the accessibility plan. If you have any concerns relating to accessibility in school, this procedure sets out the process for raising these concerns.</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have included a range of stakeholders in the development of this accessibility plan, including the Board of Trustees</w:t>
      </w:r>
    </w:p>
    <w:p w:rsidR="00000000" w:rsidDel="00000000" w:rsidP="00000000" w:rsidRDefault="00000000" w:rsidRPr="00000000" w14:paraId="00000030">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r w:rsidDel="00000000" w:rsidR="00000000" w:rsidRPr="00000000">
        <w:rPr>
          <w:rtl w:val="0"/>
        </w:rPr>
      </w:r>
    </w:p>
    <w:p w:rsidR="00000000" w:rsidDel="00000000" w:rsidP="00000000" w:rsidRDefault="00000000" w:rsidRPr="00000000" w14:paraId="00000031">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bookmarkStart w:colFirst="0" w:colLast="0" w:name="_heading=h.30j0zll" w:id="0"/>
      <w:bookmarkEnd w:id="0"/>
      <w:r w:rsidDel="00000000" w:rsidR="00000000" w:rsidRPr="00000000">
        <w:rPr>
          <w:rFonts w:ascii="Century Gothic" w:cs="Century Gothic" w:eastAsia="Century Gothic" w:hAnsi="Century Gothic"/>
          <w:b w:val="1"/>
          <w:bCs w:val="1"/>
          <w:color w:val="000000"/>
          <w:sz w:val="28"/>
          <w:szCs w:val="28"/>
          <w:rtl w:val="0"/>
        </w:rPr>
        <w:t xml:space="preserve">2. Legislation and guidance</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This document meets the requirements of schedule 10 of the Equality Act 2010 and the Department for Education (DfE) guidance for schools on the Equality Act 2010.</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Equality Act 2010 defines an individual as disabled if he or she has a physical or mental impairment that has a ‘substantial’ and ‘long-term’ adverse effect on his or her ability to undertake normal day to day activities. </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sectPr>
          <w:headerReference r:id="rId12" w:type="default"/>
          <w:headerReference r:id="rId13" w:type="first"/>
          <w:footerReference r:id="rId14" w:type="default"/>
          <w:footerReference r:id="rId15" w:type="first"/>
          <w:pgSz w:h="16840" w:w="11900" w:orient="portrait"/>
          <w:pgMar w:bottom="1440" w:top="1440" w:left="1440" w:right="1440" w:header="720" w:footer="720"/>
          <w:pgNumType w:start="1"/>
          <w:titlePg w:val="1"/>
        </w:sectPr>
      </w:pPr>
      <w:r w:rsidDel="00000000" w:rsidR="00000000" w:rsidRPr="00000000">
        <w:rPr>
          <w:rFonts w:ascii="Century Gothic" w:cs="Century Gothic" w:eastAsia="Century Gothic" w:hAnsi="Century Gothic"/>
          <w:color w:val="000000"/>
          <w:sz w:val="22"/>
          <w:szCs w:val="22"/>
          <w:rtl w:val="0"/>
        </w:rPr>
        <w:t xml:space="preserve">This plan complies with our funding agreement and articles of association.</w:t>
      </w:r>
    </w:p>
    <w:p w:rsidR="00000000" w:rsidDel="00000000" w:rsidP="00000000" w:rsidRDefault="00000000" w:rsidRPr="00000000" w14:paraId="00000038">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bookmarkStart w:colFirst="0" w:colLast="0" w:name="_heading=h.1fob9te" w:id="1"/>
      <w:bookmarkEnd w:id="1"/>
      <w:r w:rsidDel="00000000" w:rsidR="00000000" w:rsidRPr="00000000">
        <w:rPr>
          <w:rFonts w:ascii="Century Gothic" w:cs="Century Gothic" w:eastAsia="Century Gothic" w:hAnsi="Century Gothic"/>
          <w:b w:val="1"/>
          <w:bCs w:val="1"/>
          <w:color w:val="000000"/>
          <w:sz w:val="28"/>
          <w:szCs w:val="28"/>
          <w:rtl w:val="0"/>
        </w:rPr>
        <w:t xml:space="preserve">3. Action plan</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120" w:before="120" w:lineRule="auto"/>
        <w:ind w:left="-709" w:firstLine="709"/>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120" w:before="120" w:lineRule="auto"/>
        <w:ind w:left="-709" w:firstLine="709"/>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This action plan sets out the aims of our accessibility plan in accordance with the Equality Act 2010. </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120" w:before="120" w:lineRule="auto"/>
        <w:ind w:left="-709" w:firstLine="709"/>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Pr>
        <w:drawing>
          <wp:anchor allowOverlap="1" behindDoc="0" distB="114300" distT="114300" distL="114300" distR="114300" hidden="0" layoutInCell="1" locked="0" relativeHeight="0" simplePos="0">
            <wp:simplePos x="0" y="0"/>
            <wp:positionH relativeFrom="margin">
              <wp:posOffset>8044050</wp:posOffset>
            </wp:positionH>
            <wp:positionV relativeFrom="margin">
              <wp:posOffset>5731200</wp:posOffset>
            </wp:positionV>
            <wp:extent cx="1895475" cy="1114425"/>
            <wp:effectExtent b="0" l="0" r="0" t="0"/>
            <wp:wrapSquare wrapText="bothSides" distB="114300" distT="114300" distL="114300" distR="114300"/>
            <wp:docPr id="11" name="image2.png"/>
            <a:graphic>
              <a:graphicData uri="http://schemas.openxmlformats.org/drawingml/2006/picture">
                <pic:pic>
                  <pic:nvPicPr>
                    <pic:cNvPr id="0" name="image2.png"/>
                    <pic:cNvPicPr preferRelativeResize="0"/>
                  </pic:nvPicPr>
                  <pic:blipFill>
                    <a:blip r:embed="rId11"/>
                    <a:srcRect b="0" l="66943" r="0" t="86251"/>
                    <a:stretch>
                      <a:fillRect/>
                    </a:stretch>
                  </pic:blipFill>
                  <pic:spPr>
                    <a:xfrm>
                      <a:off x="0" y="0"/>
                      <a:ext cx="1895475" cy="1114425"/>
                    </a:xfrm>
                    <a:prstGeom prst="rect"/>
                    <a:ln/>
                  </pic:spPr>
                </pic:pic>
              </a:graphicData>
            </a:graphic>
          </wp:anchor>
        </w:drawing>
      </w:r>
      <w:r w:rsidDel="00000000" w:rsidR="00000000" w:rsidRPr="00000000">
        <w:rPr>
          <w:rtl w:val="0"/>
        </w:rPr>
      </w:r>
    </w:p>
    <w:tbl>
      <w:tblPr>
        <w:tblStyle w:val="Table2"/>
        <w:tblW w:w="13948.0" w:type="dxa"/>
        <w:jc w:val="left"/>
        <w:tblInd w:w="-34.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1427"/>
        <w:gridCol w:w="2753"/>
        <w:gridCol w:w="1929"/>
        <w:gridCol w:w="2182"/>
        <w:gridCol w:w="2577"/>
        <w:gridCol w:w="1181"/>
        <w:gridCol w:w="1899"/>
        <w:tblGridChange w:id="0">
          <w:tblGrid>
            <w:gridCol w:w="1427"/>
            <w:gridCol w:w="2753"/>
            <w:gridCol w:w="1929"/>
            <w:gridCol w:w="2182"/>
            <w:gridCol w:w="2577"/>
            <w:gridCol w:w="1181"/>
            <w:gridCol w:w="1899"/>
          </w:tblGrid>
        </w:tblGridChange>
      </w:tblGrid>
      <w:tr>
        <w:trPr>
          <w:cantSplit w:val="0"/>
          <w:trHeight w:val="27" w:hRule="atLeast"/>
          <w:tblHeader w:val="0"/>
        </w:trPr>
        <w:tc>
          <w:tcPr>
            <w:shd w:fill="bfbfbf" w:val="clear"/>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Aim</w:t>
            </w:r>
          </w:p>
        </w:tc>
        <w:tc>
          <w:tcPr>
            <w:shd w:fill="bfbfbf" w:val="clea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Current good practice</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shd w:fill="bfbfbf" w:val="clear"/>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Objectives</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shd w:fill="bfbfbf" w:val="clear"/>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Actions to be taken</w:t>
            </w:r>
          </w:p>
        </w:tc>
        <w:tc>
          <w:tcPr>
            <w:shd w:fill="bfbfbf" w:val="clear"/>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Person responsible</w:t>
            </w:r>
          </w:p>
        </w:tc>
        <w:tc>
          <w:tcPr>
            <w:shd w:fill="bfbfbf" w:val="clea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Date to complete actions by</w:t>
            </w:r>
          </w:p>
        </w:tc>
        <w:tc>
          <w:tcPr>
            <w:shd w:fill="bfbfbf" w:val="clea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Success criteria</w:t>
            </w:r>
          </w:p>
        </w:tc>
      </w:tr>
      <w:tr>
        <w:trPr>
          <w:cantSplit w:val="0"/>
          <w:tblHeader w:val="0"/>
        </w:trPr>
        <w:tc>
          <w:tcPr>
            <w:shd w:fill="auto" w:val="clea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Increase access to the curriculum for pupils with a disability</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All existing schools in our Trust offer a differentiated curriculum for all pupils.</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use resources in those schools tailored to the needs of pupils who require support to access the curriculum.</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Curriculum resources include examples of people with disabilities.</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Curriculum progress is tracked for all pupils, including those with a disability.</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Targets are set effectively and are appropriate for pupils with additional needs. </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curriculum is reviewed to ensure it meets the needs of all pupils.</w:t>
            </w:r>
          </w:p>
        </w:tc>
        <w:tc>
          <w:tcPr>
            <w:shd w:fill="auto" w:val="clear"/>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Work with curriculum leads in other Trust schools to understand scope and expectations of the Trust around curriculum intent, implementation and impact.</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Work with other schools to </w:t>
            </w:r>
            <w:r w:rsidDel="00000000" w:rsidR="00000000" w:rsidRPr="00000000">
              <w:rPr>
                <w:rFonts w:ascii="Century Gothic" w:cs="Century Gothic" w:eastAsia="Century Gothic" w:hAnsi="Century Gothic"/>
                <w:sz w:val="22"/>
                <w:szCs w:val="22"/>
                <w:rtl w:val="0"/>
              </w:rPr>
              <w:t xml:space="preserve">procure a full</w:t>
            </w:r>
            <w:r w:rsidDel="00000000" w:rsidR="00000000" w:rsidRPr="00000000">
              <w:rPr>
                <w:rFonts w:ascii="Century Gothic" w:cs="Century Gothic" w:eastAsia="Century Gothic" w:hAnsi="Century Gothic"/>
                <w:color w:val="000000"/>
                <w:sz w:val="22"/>
                <w:szCs w:val="22"/>
                <w:rtl w:val="0"/>
              </w:rPr>
              <w:t xml:space="preserve"> range of resources to support our pupils.</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Ensure that effective planning and assessment is in place to support the needs of individual pupils and their needs and to allow good levels of progression</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Curriculum developed and audited with appointed teaching staff; costs of release time to be met where required</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Procure all necessary resources to support needs within the school</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Planning proformas and monitoring arrangements to be shared with all teaching staff</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Ensure assessment system is fully installed and assessment cycle shared and implemented.</w:t>
            </w:r>
          </w:p>
        </w:tc>
        <w:tc>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HT/Class Teachers</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HT/All teaching staff</w:t>
            </w:r>
          </w:p>
        </w:tc>
        <w:tc>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 202</w:t>
            </w:r>
            <w:r w:rsidDel="00000000" w:rsidR="00000000" w:rsidRPr="00000000">
              <w:rPr>
                <w:rFonts w:ascii="Century Gothic" w:cs="Century Gothic" w:eastAsia="Century Gothic" w:hAnsi="Century Gothic"/>
                <w:sz w:val="22"/>
                <w:szCs w:val="22"/>
                <w:rtl w:val="0"/>
              </w:rPr>
              <w:t xml:space="preserve">5</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 20</w:t>
            </w:r>
            <w:r w:rsidDel="00000000" w:rsidR="00000000" w:rsidRPr="00000000">
              <w:rPr>
                <w:rFonts w:ascii="Century Gothic" w:cs="Century Gothic" w:eastAsia="Century Gothic" w:hAnsi="Century Gothic"/>
                <w:sz w:val="22"/>
                <w:szCs w:val="22"/>
                <w:rtl w:val="0"/>
              </w:rPr>
              <w:t xml:space="preserve">25</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 202</w:t>
            </w:r>
            <w:r w:rsidDel="00000000" w:rsidR="00000000" w:rsidRPr="00000000">
              <w:rPr>
                <w:rFonts w:ascii="Century Gothic" w:cs="Century Gothic" w:eastAsia="Century Gothic" w:hAnsi="Century Gothic"/>
                <w:sz w:val="22"/>
                <w:szCs w:val="22"/>
                <w:rtl w:val="0"/>
              </w:rPr>
              <w:t xml:space="preserve">5</w: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Dec 202</w:t>
            </w:r>
            <w:r w:rsidDel="00000000" w:rsidR="00000000" w:rsidRPr="00000000">
              <w:rPr>
                <w:rFonts w:ascii="Century Gothic" w:cs="Century Gothic" w:eastAsia="Century Gothic" w:hAnsi="Century Gothic"/>
                <w:sz w:val="22"/>
                <w:szCs w:val="22"/>
                <w:rtl w:val="0"/>
              </w:rPr>
              <w:t xml:space="preserve">5</w:t>
            </w:r>
            <w:r w:rsidDel="00000000" w:rsidR="00000000" w:rsidRPr="00000000">
              <w:rPr>
                <w:rtl w:val="0"/>
              </w:rPr>
            </w:r>
          </w:p>
        </w:tc>
        <w:tc>
          <w:tcPr/>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Monitoring and pupil feedback confirms all pupils are accessing teaching and learning</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Monitoring ensures resources are in place and being used by staff/pupils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Planning proformas are completed successfully</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Assessment data being collected and used for progression analysis</w:t>
            </w:r>
          </w:p>
        </w:tc>
      </w:tr>
      <w:tr>
        <w:trPr>
          <w:cantSplit w:val="0"/>
          <w:tblHeader w:val="0"/>
        </w:trPr>
        <w:tc>
          <w:tcPr>
            <w:shd w:fill="auto" w:val="clear"/>
          </w:tcPr>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Improve and maintain access to the physical environment</w:t>
            </w:r>
          </w:p>
        </w:tc>
        <w:tc>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environment is adapted to the needs of pupils as required.</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This includes:</w:t>
            </w:r>
          </w:p>
          <w:p w:rsidR="00000000" w:rsidDel="00000000" w:rsidP="00000000" w:rsidRDefault="00000000" w:rsidRPr="00000000" w14:paraId="0000007D">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Ramps</w:t>
            </w:r>
            <w:r w:rsidDel="00000000" w:rsidR="00000000" w:rsidRPr="00000000">
              <w:rPr>
                <w:rtl w:val="0"/>
              </w:rPr>
            </w:r>
          </w:p>
          <w:p w:rsidR="00000000" w:rsidDel="00000000" w:rsidP="00000000" w:rsidRDefault="00000000" w:rsidRPr="00000000" w14:paraId="0000007E">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Elevators</w:t>
            </w:r>
            <w:r w:rsidDel="00000000" w:rsidR="00000000" w:rsidRPr="00000000">
              <w:rPr>
                <w:rtl w:val="0"/>
              </w:rPr>
            </w:r>
          </w:p>
          <w:p w:rsidR="00000000" w:rsidDel="00000000" w:rsidP="00000000" w:rsidRDefault="00000000" w:rsidRPr="00000000" w14:paraId="0000007F">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Corridor width</w:t>
            </w:r>
            <w:r w:rsidDel="00000000" w:rsidR="00000000" w:rsidRPr="00000000">
              <w:rPr>
                <w:rtl w:val="0"/>
              </w:rPr>
            </w:r>
          </w:p>
          <w:p w:rsidR="00000000" w:rsidDel="00000000" w:rsidP="00000000" w:rsidRDefault="00000000" w:rsidRPr="00000000" w14:paraId="00000080">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Disabled parking bays</w:t>
            </w:r>
            <w:r w:rsidDel="00000000" w:rsidR="00000000" w:rsidRPr="00000000">
              <w:rPr>
                <w:rtl w:val="0"/>
              </w:rPr>
            </w:r>
          </w:p>
          <w:p w:rsidR="00000000" w:rsidDel="00000000" w:rsidP="00000000" w:rsidRDefault="00000000" w:rsidRPr="00000000" w14:paraId="00000081">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Disabled toilets and changing facilities</w:t>
            </w:r>
            <w:r w:rsidDel="00000000" w:rsidR="00000000" w:rsidRPr="00000000">
              <w:rPr>
                <w:rtl w:val="0"/>
              </w:rPr>
            </w:r>
          </w:p>
        </w:tc>
        <w:tc>
          <w:tcPr>
            <w:shd w:fill="auto" w:val="clear"/>
          </w:tcPr>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Ensure maintenance of existing access</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Communicate access arrangements as required</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Update accessibility plan upon entry</w:t>
            </w:r>
            <w:r w:rsidDel="00000000" w:rsidR="00000000" w:rsidRPr="00000000">
              <w:rPr>
                <w:rFonts w:ascii="Century Gothic" w:cs="Century Gothic" w:eastAsia="Century Gothic" w:hAnsi="Century Gothic"/>
                <w:sz w:val="22"/>
                <w:szCs w:val="22"/>
                <w:rtl w:val="0"/>
              </w:rPr>
              <w:t xml:space="preserve"> to both sites</w:t>
            </w:r>
            <w:r w:rsidDel="00000000" w:rsidR="00000000" w:rsidRPr="00000000">
              <w:rPr>
                <w:rtl w:val="0"/>
              </w:rPr>
            </w:r>
          </w:p>
        </w:tc>
        <w:tc>
          <w:tcPr/>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HT/ESCC Building Maintenance/Beckmead Trust Facilities Manager</w:t>
            </w:r>
          </w:p>
        </w:tc>
        <w:tc>
          <w:tcPr/>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 202</w:t>
            </w:r>
            <w:r w:rsidDel="00000000" w:rsidR="00000000" w:rsidRPr="00000000">
              <w:rPr>
                <w:rFonts w:ascii="Century Gothic" w:cs="Century Gothic" w:eastAsia="Century Gothic" w:hAnsi="Century Gothic"/>
                <w:sz w:val="22"/>
                <w:szCs w:val="22"/>
                <w:rtl w:val="0"/>
              </w:rPr>
              <w:t xml:space="preserve">5</w:t>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Pupils, staff and visitors are able to physically access the site</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Improve the delivery of information to pupils with a disability</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Our Trust uses a range of communication methods to ensure information is accessible. This includes:</w:t>
            </w:r>
          </w:p>
          <w:p w:rsidR="00000000" w:rsidDel="00000000" w:rsidP="00000000" w:rsidRDefault="00000000" w:rsidRPr="00000000" w14:paraId="00000097">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Internal signage</w:t>
            </w:r>
            <w:r w:rsidDel="00000000" w:rsidR="00000000" w:rsidRPr="00000000">
              <w:rPr>
                <w:rtl w:val="0"/>
              </w:rPr>
            </w:r>
          </w:p>
          <w:p w:rsidR="00000000" w:rsidDel="00000000" w:rsidP="00000000" w:rsidRDefault="00000000" w:rsidRPr="00000000" w14:paraId="00000098">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Large print resources</w:t>
            </w:r>
            <w:r w:rsidDel="00000000" w:rsidR="00000000" w:rsidRPr="00000000">
              <w:rPr>
                <w:rtl w:val="0"/>
              </w:rPr>
            </w:r>
          </w:p>
          <w:p w:rsidR="00000000" w:rsidDel="00000000" w:rsidP="00000000" w:rsidRDefault="00000000" w:rsidRPr="00000000" w14:paraId="00000099">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Pictorial or symbolic representations.</w:t>
            </w:r>
            <w:r w:rsidDel="00000000" w:rsidR="00000000" w:rsidRPr="00000000">
              <w:rPr>
                <w:rtl w:val="0"/>
              </w:rPr>
            </w:r>
          </w:p>
        </w:tc>
        <w:tc>
          <w:tcPr>
            <w:shd w:fill="auto" w:val="clear"/>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Check </w:t>
            </w:r>
            <w:r w:rsidDel="00000000" w:rsidR="00000000" w:rsidRPr="00000000">
              <w:rPr>
                <w:rFonts w:ascii="Century Gothic" w:cs="Century Gothic" w:eastAsia="Century Gothic" w:hAnsi="Century Gothic"/>
                <w:color w:val="000000"/>
                <w:sz w:val="22"/>
                <w:szCs w:val="22"/>
                <w:rtl w:val="0"/>
              </w:rPr>
              <w:t xml:space="preserve">communication systems being used at other schools, adapt according </w:t>
            </w:r>
            <w:r w:rsidDel="00000000" w:rsidR="00000000" w:rsidRPr="00000000">
              <w:rPr>
                <w:rFonts w:ascii="Century Gothic" w:cs="Century Gothic" w:eastAsia="Century Gothic" w:hAnsi="Century Gothic"/>
                <w:sz w:val="22"/>
                <w:szCs w:val="22"/>
                <w:rtl w:val="0"/>
              </w:rPr>
              <w:t xml:space="preserve">to the needs</w:t>
            </w:r>
            <w:r w:rsidDel="00000000" w:rsidR="00000000" w:rsidRPr="00000000">
              <w:rPr>
                <w:rFonts w:ascii="Century Gothic" w:cs="Century Gothic" w:eastAsia="Century Gothic" w:hAnsi="Century Gothic"/>
                <w:color w:val="000000"/>
                <w:sz w:val="22"/>
                <w:szCs w:val="22"/>
                <w:rtl w:val="0"/>
              </w:rPr>
              <w:t xml:space="preserve"> of our pupils.</w:t>
            </w:r>
          </w:p>
        </w:tc>
        <w:tc>
          <w:tcPr/>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Visual timetables in all classrooms</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Signage &amp; labelling in place</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Communicate in Print and other suitable software available to teaching staff</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Requirements and recommendations of professional agencies for individual pupils are implemented</w:t>
            </w:r>
          </w:p>
        </w:tc>
        <w:tc>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 2024</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HT/Class Teachers   </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8">
            <w:pP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HT/Trust IT Coordinator</w:t>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C">
            <w:pP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HT/Class teachers</w:t>
            </w:r>
            <w:r w:rsidDel="00000000" w:rsidR="00000000" w:rsidRPr="00000000">
              <w:rPr>
                <w:rtl w:val="0"/>
              </w:rPr>
            </w:r>
          </w:p>
        </w:tc>
        <w:tc>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Class teachers</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AF">
            <w:pP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Sept 2025</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B1">
            <w:pP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Sept 2025</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B4">
            <w:pP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Sept 2025</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Monitoring – learning walks</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hyperlink r:id="rId16">
              <w:r w:rsidDel="00000000" w:rsidR="00000000" w:rsidRPr="00000000">
                <w:rPr>
                  <w:rFonts w:ascii="Century Gothic" w:cs="Century Gothic" w:eastAsia="Century Gothic" w:hAnsi="Century Gothic"/>
                  <w:color w:val="0563c1"/>
                  <w:sz w:val="22"/>
                  <w:szCs w:val="22"/>
                  <w:u w:val="single"/>
                  <w:rtl w:val="0"/>
                </w:rPr>
                <w:t xml:space="preserve">ESCAL Communication Audit</w:t>
              </w:r>
            </w:hyperlink>
            <w:r w:rsidDel="00000000" w:rsidR="00000000" w:rsidRPr="00000000">
              <w:rPr>
                <w:rFonts w:ascii="Century Gothic" w:cs="Century Gothic" w:eastAsia="Century Gothic" w:hAnsi="Century Gothic"/>
                <w:color w:val="000000"/>
                <w:sz w:val="22"/>
                <w:szCs w:val="22"/>
                <w:rtl w:val="0"/>
              </w:rPr>
              <w:t xml:space="preserve"> confirms best practice in place</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r>
    </w:tbl>
    <w:p w:rsidR="00000000" w:rsidDel="00000000" w:rsidP="00000000" w:rsidRDefault="00000000" w:rsidRPr="00000000" w14:paraId="000000BA">
      <w:pPr>
        <w:rPr>
          <w:rFonts w:ascii="Century Gothic" w:cs="Century Gothic" w:eastAsia="Century Gothic" w:hAnsi="Century Gothic"/>
        </w:rPr>
        <w:sectPr>
          <w:footerReference r:id="rId17" w:type="default"/>
          <w:type w:val="nextPage"/>
          <w:pgSz w:h="11900" w:w="16840" w:orient="landscape"/>
          <w:pgMar w:bottom="1440" w:top="1440" w:left="1440" w:right="1440" w:header="720" w:footer="720"/>
        </w:sectPr>
      </w:pPr>
      <w:r w:rsidDel="00000000" w:rsidR="00000000" w:rsidRPr="00000000">
        <w:rPr>
          <w:rtl w:val="0"/>
        </w:rPr>
      </w:r>
    </w:p>
    <w:p w:rsidR="00000000" w:rsidDel="00000000" w:rsidP="00000000" w:rsidRDefault="00000000" w:rsidRPr="00000000" w14:paraId="000000BB">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bookmarkStart w:colFirst="0" w:colLast="0" w:name="_heading=h.3znysh7" w:id="2"/>
      <w:bookmarkEnd w:id="2"/>
      <w:r w:rsidDel="00000000" w:rsidR="00000000" w:rsidRPr="00000000">
        <w:rPr>
          <w:rFonts w:ascii="Century Gothic" w:cs="Century Gothic" w:eastAsia="Century Gothic" w:hAnsi="Century Gothic"/>
          <w:b w:val="1"/>
          <w:bCs w:val="1"/>
          <w:color w:val="000000"/>
          <w:sz w:val="28"/>
          <w:szCs w:val="28"/>
          <w:rtl w:val="0"/>
        </w:rPr>
        <w:t xml:space="preserve">4. Monitoring arrangements</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This document will be reviewed every 3 years, but may be reviewed and updated more frequently if necessary. </w:t>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It will be approved </w:t>
      </w:r>
      <w:r w:rsidDel="00000000" w:rsidR="00000000" w:rsidRPr="00000000">
        <w:rPr>
          <w:rFonts w:ascii="Century Gothic" w:cs="Century Gothic" w:eastAsia="Century Gothic" w:hAnsi="Century Gothic"/>
          <w:sz w:val="22"/>
          <w:szCs w:val="22"/>
          <w:rtl w:val="0"/>
        </w:rPr>
        <w:t xml:space="preserve">by the Board</w:t>
      </w:r>
      <w:r w:rsidDel="00000000" w:rsidR="00000000" w:rsidRPr="00000000">
        <w:rPr>
          <w:rFonts w:ascii="Century Gothic" w:cs="Century Gothic" w:eastAsia="Century Gothic" w:hAnsi="Century Gothic"/>
          <w:color w:val="000000"/>
          <w:sz w:val="22"/>
          <w:szCs w:val="22"/>
          <w:rtl w:val="0"/>
        </w:rPr>
        <w:t xml:space="preserve"> of Trustees.</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At </w:t>
      </w:r>
      <w:r w:rsidDel="00000000" w:rsidR="00000000" w:rsidRPr="00000000">
        <w:rPr>
          <w:rFonts w:ascii="Century Gothic" w:cs="Century Gothic" w:eastAsia="Century Gothic" w:hAnsi="Century Gothic"/>
          <w:sz w:val="22"/>
          <w:szCs w:val="22"/>
          <w:rtl w:val="0"/>
        </w:rPr>
        <w:t xml:space="preserve">Beckmead Park Academy</w:t>
      </w:r>
      <w:r w:rsidDel="00000000" w:rsidR="00000000" w:rsidRPr="00000000">
        <w:rPr>
          <w:rFonts w:ascii="Century Gothic" w:cs="Century Gothic" w:eastAsia="Century Gothic" w:hAnsi="Century Gothic"/>
          <w:color w:val="000000"/>
          <w:sz w:val="22"/>
          <w:szCs w:val="22"/>
          <w:rtl w:val="0"/>
        </w:rPr>
        <w:t xml:space="preserve">, the Plan will be reviewed by the Headteacher </w:t>
      </w:r>
      <w:r w:rsidDel="00000000" w:rsidR="00000000" w:rsidRPr="00000000">
        <w:rPr>
          <w:rFonts w:ascii="Century Gothic" w:cs="Century Gothic" w:eastAsia="Century Gothic" w:hAnsi="Century Gothic"/>
          <w:sz w:val="22"/>
          <w:szCs w:val="22"/>
          <w:rtl w:val="0"/>
        </w:rPr>
        <w:t xml:space="preserve">regularly </w:t>
      </w:r>
      <w:r w:rsidDel="00000000" w:rsidR="00000000" w:rsidRPr="00000000">
        <w:rPr>
          <w:rFonts w:ascii="Century Gothic" w:cs="Century Gothic" w:eastAsia="Century Gothic" w:hAnsi="Century Gothic"/>
          <w:color w:val="000000"/>
          <w:sz w:val="22"/>
          <w:szCs w:val="22"/>
          <w:rtl w:val="0"/>
        </w:rPr>
        <w:t xml:space="preserve">and the objectives updated accordingly.</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C0">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bookmarkStart w:colFirst="0" w:colLast="0" w:name="_heading=h.2et92p0" w:id="3"/>
      <w:bookmarkEnd w:id="3"/>
      <w:r w:rsidDel="00000000" w:rsidR="00000000" w:rsidRPr="00000000">
        <w:rPr>
          <w:rFonts w:ascii="Century Gothic" w:cs="Century Gothic" w:eastAsia="Century Gothic" w:hAnsi="Century Gothic"/>
          <w:b w:val="1"/>
          <w:bCs w:val="1"/>
          <w:color w:val="000000"/>
          <w:sz w:val="28"/>
          <w:szCs w:val="28"/>
          <w:rtl w:val="0"/>
        </w:rPr>
        <w:t xml:space="preserve">5. Links with other policies</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This accessibility plan is linked to the following policies and documents:</w:t>
      </w:r>
    </w:p>
    <w:p w:rsidR="00000000" w:rsidDel="00000000" w:rsidP="00000000" w:rsidRDefault="00000000" w:rsidRPr="00000000" w14:paraId="000000C2">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Risk assessment policy</w:t>
      </w:r>
      <w:r w:rsidDel="00000000" w:rsidR="00000000" w:rsidRPr="00000000">
        <w:rPr>
          <w:rtl w:val="0"/>
        </w:rPr>
      </w:r>
    </w:p>
    <w:p w:rsidR="00000000" w:rsidDel="00000000" w:rsidP="00000000" w:rsidRDefault="00000000" w:rsidRPr="00000000" w14:paraId="000000C3">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Health and safety policy</w:t>
      </w:r>
      <w:r w:rsidDel="00000000" w:rsidR="00000000" w:rsidRPr="00000000">
        <w:rPr>
          <w:rtl w:val="0"/>
        </w:rPr>
      </w:r>
    </w:p>
    <w:p w:rsidR="00000000" w:rsidDel="00000000" w:rsidP="00000000" w:rsidRDefault="00000000" w:rsidRPr="00000000" w14:paraId="000000C4">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Equality information and objectives (public sector equality duty) statement for publication</w:t>
      </w:r>
      <w:r w:rsidDel="00000000" w:rsidR="00000000" w:rsidRPr="00000000">
        <w:rPr>
          <w:rtl w:val="0"/>
        </w:rPr>
      </w:r>
    </w:p>
    <w:p w:rsidR="00000000" w:rsidDel="00000000" w:rsidP="00000000" w:rsidRDefault="00000000" w:rsidRPr="00000000" w14:paraId="000000C5">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2"/>
          <w:szCs w:val="22"/>
          <w:rtl w:val="0"/>
        </w:rPr>
        <w:t xml:space="preserve">Special educational needs (SEN) information report</w:t>
      </w:r>
      <w:r w:rsidDel="00000000" w:rsidR="00000000" w:rsidRPr="00000000">
        <w:rPr>
          <w:rtl w:val="0"/>
        </w:rPr>
      </w:r>
    </w:p>
    <w:p w:rsidR="00000000" w:rsidDel="00000000" w:rsidP="00000000" w:rsidRDefault="00000000" w:rsidRPr="00000000" w14:paraId="000000C6">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rPr>
        <w:sectPr>
          <w:type w:val="nextPage"/>
          <w:pgSz w:h="16840" w:w="11900" w:orient="portrait"/>
          <w:pgMar w:bottom="1440" w:top="1440" w:left="1440" w:right="1440" w:header="720" w:footer="720"/>
        </w:sectPr>
      </w:pPr>
      <w:r w:rsidDel="00000000" w:rsidR="00000000" w:rsidRPr="00000000">
        <w:rPr>
          <w:rFonts w:ascii="Century Gothic" w:cs="Century Gothic" w:eastAsia="Century Gothic" w:hAnsi="Century Gothic"/>
          <w:color w:val="000000"/>
          <w:sz w:val="22"/>
          <w:szCs w:val="22"/>
          <w:rtl w:val="0"/>
        </w:rPr>
        <w:t xml:space="preserve">Supporting pupils with medical conditions policy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4810125</wp:posOffset>
            </wp:positionH>
            <wp:positionV relativeFrom="paragraph">
              <wp:posOffset>5251252</wp:posOffset>
            </wp:positionV>
            <wp:extent cx="1895475" cy="1114425"/>
            <wp:effectExtent b="0" l="0" r="0" t="0"/>
            <wp:wrapSquare wrapText="bothSides" distB="114300" distT="114300" distL="114300" distR="114300"/>
            <wp:docPr id="16" name="image2.png"/>
            <a:graphic>
              <a:graphicData uri="http://schemas.openxmlformats.org/drawingml/2006/picture">
                <pic:pic>
                  <pic:nvPicPr>
                    <pic:cNvPr id="0" name="image2.png"/>
                    <pic:cNvPicPr preferRelativeResize="0"/>
                  </pic:nvPicPr>
                  <pic:blipFill>
                    <a:blip r:embed="rId11"/>
                    <a:srcRect b="0" l="66943" r="0" t="86251"/>
                    <a:stretch>
                      <a:fillRect/>
                    </a:stretch>
                  </pic:blipFill>
                  <pic:spPr>
                    <a:xfrm>
                      <a:off x="0" y="0"/>
                      <a:ext cx="1895475" cy="1114425"/>
                    </a:xfrm>
                    <a:prstGeom prst="rect"/>
                    <a:ln/>
                  </pic:spPr>
                </pic:pic>
              </a:graphicData>
            </a:graphic>
          </wp:anchor>
        </w:drawing>
      </w:r>
    </w:p>
    <w:p w:rsidR="00000000" w:rsidDel="00000000" w:rsidP="00000000" w:rsidRDefault="00000000" w:rsidRPr="00000000" w14:paraId="000000C7">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bookmarkStart w:colFirst="0" w:colLast="0" w:name="_heading=h.tyjcwt" w:id="4"/>
      <w:bookmarkEnd w:id="4"/>
      <w:r w:rsidDel="00000000" w:rsidR="00000000" w:rsidRPr="00000000">
        <w:rPr>
          <w:rFonts w:ascii="Century Gothic" w:cs="Century Gothic" w:eastAsia="Century Gothic" w:hAnsi="Century Gothic"/>
          <w:b w:val="1"/>
          <w:bCs w:val="1"/>
          <w:color w:val="000000"/>
          <w:sz w:val="28"/>
          <w:szCs w:val="28"/>
          <w:rtl w:val="0"/>
        </w:rPr>
        <w:t xml:space="preserve">Appendix 1: Accessibility A</w:t>
      </w:r>
      <w:sdt>
        <w:sdtPr>
          <w:id w:val="-763753970"/>
          <w:tag w:val="goog_rdk_0"/>
        </w:sdtPr>
        <w:sdtContent>
          <w:commentRangeStart w:id="0"/>
        </w:sdtContent>
      </w:sdt>
      <w:r w:rsidDel="00000000" w:rsidR="00000000" w:rsidRPr="00000000">
        <w:rPr>
          <w:rFonts w:ascii="Century Gothic" w:cs="Century Gothic" w:eastAsia="Century Gothic" w:hAnsi="Century Gothic"/>
          <w:b w:val="1"/>
          <w:bCs w:val="1"/>
          <w:color w:val="000000"/>
          <w:sz w:val="28"/>
          <w:szCs w:val="28"/>
          <w:rtl w:val="0"/>
        </w:rPr>
        <w:t xml:space="preserve">udit</w:t>
      </w:r>
      <w:commentRangeEnd w:id="0"/>
      <w:r w:rsidDel="00000000" w:rsidR="00000000" w:rsidRPr="00000000">
        <w:commentReference w:id="0"/>
      </w:r>
      <w:r w:rsidDel="00000000" w:rsidR="00000000" w:rsidRPr="00000000">
        <w:rPr>
          <w:rFonts w:ascii="Century Gothic" w:cs="Century Gothic" w:eastAsia="Century Gothic" w:hAnsi="Century Gothic"/>
          <w:b w:val="1"/>
          <w:bCs w:val="1"/>
          <w:color w:val="000000"/>
          <w:sz w:val="28"/>
          <w:szCs w:val="28"/>
          <w:rtl w:val="0"/>
        </w:rPr>
        <w:t xml:space="preserve">: Monks Orchard Road site </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bl>
      <w:tblPr>
        <w:tblStyle w:val="Table3"/>
        <w:tblW w:w="14806.0" w:type="dxa"/>
        <w:jc w:val="left"/>
        <w:tblInd w:w="-459.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3526"/>
        <w:gridCol w:w="3003"/>
        <w:gridCol w:w="5105"/>
        <w:gridCol w:w="1586"/>
        <w:gridCol w:w="1586"/>
        <w:tblGridChange w:id="0">
          <w:tblGrid>
            <w:gridCol w:w="3526"/>
            <w:gridCol w:w="3003"/>
            <w:gridCol w:w="5105"/>
            <w:gridCol w:w="1586"/>
            <w:gridCol w:w="1586"/>
          </w:tblGrid>
        </w:tblGridChange>
      </w:tblGrid>
      <w:tr>
        <w:trPr>
          <w:cantSplit w:val="0"/>
          <w:trHeight w:val="38" w:hRule="atLeast"/>
          <w:tblHeader w:val="0"/>
        </w:trPr>
        <w:tc>
          <w:tcPr>
            <w:shd w:fill="bfbfbf" w:val="clear"/>
          </w:tcPr>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Feature</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shd w:fill="bfbfbf" w:val="clear"/>
          </w:tcPr>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Description</w:t>
            </w:r>
          </w:p>
        </w:tc>
        <w:tc>
          <w:tcPr>
            <w:shd w:fill="bfbfbf" w:val="clear"/>
          </w:tcPr>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Actions to be taken</w:t>
            </w:r>
          </w:p>
        </w:tc>
        <w:tc>
          <w:tcPr>
            <w:shd w:fill="bfbfbf" w:val="clear"/>
          </w:tcPr>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Person responsible</w:t>
            </w:r>
          </w:p>
        </w:tc>
        <w:tc>
          <w:tcPr>
            <w:shd w:fill="bfbfbf" w:val="clear"/>
          </w:tcPr>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Date to complete actions by</w:t>
            </w:r>
          </w:p>
        </w:tc>
      </w:tr>
      <w:tr>
        <w:trPr>
          <w:cantSplit w:val="0"/>
          <w:trHeight w:val="715" w:hRule="atLeast"/>
          <w:tblHeader w:val="0"/>
        </w:trPr>
        <w:tc>
          <w:tcPr>
            <w:shd w:fill="auto" w:val="clear"/>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Number of storeys</w:t>
            </w:r>
          </w:p>
        </w:tc>
        <w:tc>
          <w:tcPr>
            <w:shd w:fill="auto" w:val="clear"/>
            <w:vAlign w:val="center"/>
          </w:tcPr>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2 floors </w:t>
            </w:r>
            <w:r w:rsidDel="00000000" w:rsidR="00000000" w:rsidRPr="00000000">
              <w:rPr>
                <w:rtl w:val="0"/>
              </w:rPr>
            </w:r>
          </w:p>
        </w:tc>
        <w:tc>
          <w:tcPr>
            <w:vAlign w:val="center"/>
          </w:tcPr>
          <w:p w:rsidR="00000000" w:rsidDel="00000000" w:rsidP="00000000" w:rsidRDefault="00000000" w:rsidRPr="00000000" w14:paraId="000000D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None</w:t>
            </w:r>
          </w:p>
        </w:tc>
        <w:tc>
          <w:tcPr>
            <w:vAlign w:val="center"/>
          </w:tcPr>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N/A</w:t>
            </w:r>
          </w:p>
        </w:tc>
        <w:tc>
          <w:tcPr>
            <w:vAlign w:val="center"/>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N/A</w:t>
            </w:r>
          </w:p>
        </w:tc>
      </w:tr>
      <w:tr>
        <w:trPr>
          <w:cantSplit w:val="0"/>
          <w:trHeight w:val="715" w:hRule="atLeast"/>
          <w:tblHeader w:val="0"/>
        </w:trPr>
        <w:tc>
          <w:tcPr>
            <w:shd w:fill="auto" w:val="clear"/>
          </w:tcPr>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Corridor access</w:t>
            </w:r>
          </w:p>
        </w:tc>
        <w:tc>
          <w:tcPr>
            <w:shd w:fill="auto" w:val="clear"/>
            <w:vAlign w:val="center"/>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All corridors are accessible to all users</w:t>
            </w:r>
          </w:p>
        </w:tc>
        <w:tc>
          <w:tcPr>
            <w:vAlign w:val="center"/>
          </w:tcPr>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Ensure all corridors are kept clear</w:t>
            </w:r>
          </w:p>
        </w:tc>
        <w:tc>
          <w:tcPr>
            <w:vAlign w:val="center"/>
          </w:tcPr>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All staff</w:t>
            </w:r>
          </w:p>
        </w:tc>
        <w:tc>
          <w:tcPr>
            <w:vAlign w:val="center"/>
          </w:tcPr>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Ongoing</w:t>
            </w:r>
          </w:p>
        </w:tc>
      </w:tr>
      <w:tr>
        <w:trPr>
          <w:cantSplit w:val="0"/>
          <w:trHeight w:val="715" w:hRule="atLeast"/>
          <w:tblHeader w:val="0"/>
        </w:trPr>
        <w:tc>
          <w:tcPr>
            <w:shd w:fill="auto" w:val="clear"/>
          </w:tcPr>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Lifts</w:t>
            </w:r>
          </w:p>
        </w:tc>
        <w:tc>
          <w:tcPr>
            <w:shd w:fill="auto" w:val="clear"/>
            <w:vAlign w:val="center"/>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0</w:t>
            </w:r>
            <w:r w:rsidDel="00000000" w:rsidR="00000000" w:rsidRPr="00000000">
              <w:rPr>
                <w:rtl w:val="0"/>
              </w:rPr>
            </w:r>
          </w:p>
        </w:tc>
        <w:tc>
          <w:tcPr>
            <w:vAlign w:val="center"/>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None</w:t>
            </w:r>
          </w:p>
        </w:tc>
        <w:tc>
          <w:tcPr>
            <w:vAlign w:val="center"/>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N/A</w:t>
            </w:r>
          </w:p>
        </w:tc>
        <w:tc>
          <w:tcPr>
            <w:vAlign w:val="center"/>
          </w:tcPr>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N/A</w:t>
            </w:r>
          </w:p>
        </w:tc>
      </w:tr>
      <w:tr>
        <w:trPr>
          <w:cantSplit w:val="0"/>
          <w:trHeight w:val="715" w:hRule="atLeast"/>
          <w:tblHeader w:val="0"/>
        </w:trPr>
        <w:tc>
          <w:tcPr>
            <w:shd w:fill="auto" w:val="clear"/>
          </w:tcPr>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Parking bays</w:t>
            </w:r>
          </w:p>
        </w:tc>
        <w:tc>
          <w:tcPr>
            <w:shd w:fill="auto" w:val="clear"/>
            <w:vAlign w:val="center"/>
          </w:tcPr>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All staff and visitors will park either onsite or off site via on street parking. </w:t>
            </w:r>
          </w:p>
        </w:tc>
        <w:tc>
          <w:tcPr>
            <w:vAlign w:val="center"/>
          </w:tcPr>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Advice given to visitors and staff</w:t>
            </w:r>
          </w:p>
        </w:tc>
        <w:tc>
          <w:tcPr>
            <w:vAlign w:val="center"/>
          </w:tcPr>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w:t>
            </w:r>
          </w:p>
        </w:tc>
        <w:tc>
          <w:tcPr>
            <w:vAlign w:val="center"/>
          </w:tcPr>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Ongoing</w:t>
            </w:r>
          </w:p>
        </w:tc>
      </w:tr>
      <w:tr>
        <w:trPr>
          <w:cantSplit w:val="0"/>
          <w:trHeight w:val="715" w:hRule="atLeast"/>
          <w:tblHeader w:val="0"/>
        </w:trPr>
        <w:tc>
          <w:tcPr>
            <w:shd w:fill="auto" w:val="clear"/>
          </w:tcPr>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Entrances</w:t>
            </w:r>
          </w:p>
        </w:tc>
        <w:tc>
          <w:tcPr>
            <w:shd w:fill="auto" w:val="clear"/>
            <w:vAlign w:val="center"/>
          </w:tcPr>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Entrance to </w:t>
            </w:r>
            <w:r w:rsidDel="00000000" w:rsidR="00000000" w:rsidRPr="00000000">
              <w:rPr>
                <w:rFonts w:ascii="Century Gothic" w:cs="Century Gothic" w:eastAsia="Century Gothic" w:hAnsi="Century Gothic"/>
                <w:sz w:val="22"/>
                <w:szCs w:val="22"/>
                <w:rtl w:val="0"/>
              </w:rPr>
              <w:t xml:space="preserve">the BPA Monks Orchard Site </w:t>
            </w:r>
            <w:r w:rsidDel="00000000" w:rsidR="00000000" w:rsidRPr="00000000">
              <w:rPr>
                <w:rFonts w:ascii="Century Gothic" w:cs="Century Gothic" w:eastAsia="Century Gothic" w:hAnsi="Century Gothic"/>
                <w:color w:val="000000"/>
                <w:sz w:val="22"/>
                <w:szCs w:val="22"/>
                <w:rtl w:val="0"/>
              </w:rPr>
              <w:t xml:space="preserve">is via an external gate. This will be manned by staff in the morning to support pupil access; during the day it is accessible via telecom. There are no issues around wheelchair access into the site.</w:t>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The school entrance is via a door with </w:t>
            </w:r>
            <w:r w:rsidDel="00000000" w:rsidR="00000000" w:rsidRPr="00000000">
              <w:rPr>
                <w:rFonts w:ascii="Century Gothic" w:cs="Century Gothic" w:eastAsia="Century Gothic" w:hAnsi="Century Gothic"/>
                <w:sz w:val="22"/>
                <w:szCs w:val="22"/>
                <w:rtl w:val="0"/>
              </w:rPr>
              <w:t xml:space="preserve">level</w:t>
            </w:r>
            <w:r w:rsidDel="00000000" w:rsidR="00000000" w:rsidRPr="00000000">
              <w:rPr>
                <w:rFonts w:ascii="Century Gothic" w:cs="Century Gothic" w:eastAsia="Century Gothic" w:hAnsi="Century Gothic"/>
                <w:color w:val="000000"/>
                <w:sz w:val="22"/>
                <w:szCs w:val="22"/>
                <w:rtl w:val="0"/>
              </w:rPr>
              <w:t xml:space="preserve"> access, allowing wheelchair users access as well.</w:t>
            </w:r>
          </w:p>
        </w:tc>
        <w:tc>
          <w:tcPr>
            <w:vAlign w:val="center"/>
          </w:tcPr>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Ensure all staff are aware of responsibilities around access onto school site</w:t>
            </w:r>
          </w:p>
        </w:tc>
        <w:tc>
          <w:tcPr>
            <w:vAlign w:val="center"/>
          </w:tcPr>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HT/All staff</w:t>
            </w:r>
          </w:p>
        </w:tc>
        <w:tc>
          <w:tcPr>
            <w:vAlign w:val="center"/>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Ongoing</w:t>
            </w:r>
          </w:p>
        </w:tc>
      </w:tr>
      <w:tr>
        <w:trPr>
          <w:cantSplit w:val="0"/>
          <w:trHeight w:val="715" w:hRule="atLeast"/>
          <w:tblHeader w:val="0"/>
        </w:trPr>
        <w:tc>
          <w:tcPr>
            <w:shd w:fill="auto" w:val="clear"/>
          </w:tcPr>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Ramps</w:t>
            </w:r>
          </w:p>
        </w:tc>
        <w:tc>
          <w:tcPr>
            <w:shd w:fill="auto" w:val="clear"/>
            <w:vAlign w:val="center"/>
          </w:tcPr>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N/A</w:t>
            </w:r>
          </w:p>
        </w:tc>
        <w:tc>
          <w:tcPr>
            <w:vAlign w:val="center"/>
          </w:tcPr>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None</w:t>
            </w:r>
          </w:p>
        </w:tc>
        <w:tc>
          <w:tcPr>
            <w:vAlign w:val="center"/>
          </w:tcPr>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N/A</w:t>
            </w:r>
          </w:p>
        </w:tc>
        <w:tc>
          <w:tcPr>
            <w:vAlign w:val="center"/>
          </w:tcPr>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N/A</w:t>
            </w:r>
          </w:p>
        </w:tc>
      </w:tr>
      <w:tr>
        <w:trPr>
          <w:cantSplit w:val="0"/>
          <w:trHeight w:val="715" w:hRule="atLeast"/>
          <w:tblHeader w:val="0"/>
        </w:trPr>
        <w:tc>
          <w:tcPr>
            <w:shd w:fill="auto" w:val="clear"/>
          </w:tcPr>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Toilets</w:t>
            </w:r>
          </w:p>
        </w:tc>
        <w:tc>
          <w:tcPr>
            <w:shd w:fill="auto" w:val="clear"/>
            <w:vAlign w:val="center"/>
          </w:tcPr>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4</w:t>
            </w:r>
            <w:r w:rsidDel="00000000" w:rsidR="00000000" w:rsidRPr="00000000">
              <w:rPr>
                <w:rFonts w:ascii="Century Gothic" w:cs="Century Gothic" w:eastAsia="Century Gothic" w:hAnsi="Century Gothic"/>
                <w:color w:val="000000"/>
                <w:sz w:val="22"/>
                <w:szCs w:val="22"/>
                <w:rtl w:val="0"/>
              </w:rPr>
              <w:t xml:space="preserve"> x pupil toilets (</w:t>
            </w:r>
            <w:r w:rsidDel="00000000" w:rsidR="00000000" w:rsidRPr="00000000">
              <w:rPr>
                <w:rFonts w:ascii="Century Gothic" w:cs="Century Gothic" w:eastAsia="Century Gothic" w:hAnsi="Century Gothic"/>
                <w:sz w:val="22"/>
                <w:szCs w:val="22"/>
                <w:rtl w:val="0"/>
              </w:rPr>
              <w:t xml:space="preserve">3</w:t>
            </w:r>
            <w:r w:rsidDel="00000000" w:rsidR="00000000" w:rsidRPr="00000000">
              <w:rPr>
                <w:rFonts w:ascii="Century Gothic" w:cs="Century Gothic" w:eastAsia="Century Gothic" w:hAnsi="Century Gothic"/>
                <w:color w:val="000000"/>
                <w:sz w:val="22"/>
                <w:szCs w:val="22"/>
                <w:rtl w:val="0"/>
              </w:rPr>
              <w:t xml:space="preserve"> male, 1 female)</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1 x Adult/disabled toilet</w:t>
            </w:r>
          </w:p>
        </w:tc>
        <w:tc>
          <w:tcPr>
            <w:vAlign w:val="center"/>
          </w:tcPr>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Ensure all toilets are clearly marked and accessible</w:t>
            </w:r>
          </w:p>
        </w:tc>
        <w:tc>
          <w:tcPr>
            <w:vAlign w:val="center"/>
          </w:tcPr>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w:t>
            </w:r>
          </w:p>
        </w:tc>
        <w:tc>
          <w:tcPr>
            <w:vAlign w:val="center"/>
          </w:tcPr>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 202</w:t>
            </w:r>
            <w:r w:rsidDel="00000000" w:rsidR="00000000" w:rsidRPr="00000000">
              <w:rPr>
                <w:rFonts w:ascii="Century Gothic" w:cs="Century Gothic" w:eastAsia="Century Gothic" w:hAnsi="Century Gothic"/>
                <w:sz w:val="22"/>
                <w:szCs w:val="22"/>
                <w:rtl w:val="0"/>
              </w:rPr>
              <w:t xml:space="preserve">5</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Reception area</w:t>
            </w:r>
          </w:p>
        </w:tc>
        <w:tc>
          <w:tcPr>
            <w:shd w:fill="auto" w:val="clear"/>
            <w:vAlign w:val="center"/>
          </w:tcPr>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Reception area is a lobby, arranged in an ‘airlock’ system with inner door access controlled by</w:t>
            </w:r>
            <w:r w:rsidDel="00000000" w:rsidR="00000000" w:rsidRPr="00000000">
              <w:rPr>
                <w:rFonts w:ascii="Century Gothic" w:cs="Century Gothic" w:eastAsia="Century Gothic" w:hAnsi="Century Gothic"/>
                <w:sz w:val="22"/>
                <w:szCs w:val="22"/>
                <w:rtl w:val="0"/>
              </w:rPr>
              <w:t xml:space="preserve"> </w:t>
            </w:r>
            <w:r w:rsidDel="00000000" w:rsidR="00000000" w:rsidRPr="00000000">
              <w:rPr>
                <w:rFonts w:ascii="Century Gothic" w:cs="Century Gothic" w:eastAsia="Century Gothic" w:hAnsi="Century Gothic"/>
                <w:color w:val="000000"/>
                <w:sz w:val="22"/>
                <w:szCs w:val="22"/>
                <w:rtl w:val="0"/>
              </w:rPr>
              <w:t xml:space="preserve">electronic fob.</w:t>
            </w:r>
          </w:p>
        </w:tc>
        <w:tc>
          <w:tcPr>
            <w:vAlign w:val="center"/>
          </w:tcPr>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Ensure all staff have fob; ensure all protocols for entry and exit are communicated.</w:t>
            </w:r>
          </w:p>
        </w:tc>
        <w:tc>
          <w:tcPr>
            <w:vAlign w:val="center"/>
          </w:tcPr>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w:t>
            </w:r>
          </w:p>
        </w:tc>
        <w:tc>
          <w:tcPr>
            <w:vAlign w:val="center"/>
          </w:tcPr>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 202</w:t>
            </w:r>
            <w:r w:rsidDel="00000000" w:rsidR="00000000" w:rsidRPr="00000000">
              <w:rPr>
                <w:rFonts w:ascii="Century Gothic" w:cs="Century Gothic" w:eastAsia="Century Gothic" w:hAnsi="Century Gothic"/>
                <w:sz w:val="22"/>
                <w:szCs w:val="22"/>
                <w:rtl w:val="0"/>
              </w:rPr>
              <w:t xml:space="preserve">5</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Internal signage</w:t>
            </w:r>
          </w:p>
        </w:tc>
        <w:tc>
          <w:tcPr>
            <w:shd w:fill="auto" w:val="clear"/>
            <w:vAlign w:val="center"/>
          </w:tcPr>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Signage will be installed as required</w:t>
            </w:r>
          </w:p>
        </w:tc>
        <w:tc>
          <w:tcPr>
            <w:vAlign w:val="center"/>
          </w:tcPr>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Quality assure all signage is in place</w:t>
            </w:r>
          </w:p>
        </w:tc>
        <w:tc>
          <w:tcPr>
            <w:vAlign w:val="center"/>
          </w:tcPr>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w:t>
            </w:r>
          </w:p>
        </w:tc>
        <w:tc>
          <w:tcPr>
            <w:vAlign w:val="center"/>
          </w:tcPr>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 202</w:t>
            </w:r>
            <w:r w:rsidDel="00000000" w:rsidR="00000000" w:rsidRPr="00000000">
              <w:rPr>
                <w:rFonts w:ascii="Century Gothic" w:cs="Century Gothic" w:eastAsia="Century Gothic" w:hAnsi="Century Gothic"/>
                <w:sz w:val="22"/>
                <w:szCs w:val="22"/>
                <w:rtl w:val="0"/>
              </w:rPr>
              <w:t xml:space="preserve">5</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Emergency escape routes</w:t>
            </w:r>
          </w:p>
        </w:tc>
        <w:tc>
          <w:tcPr>
            <w:shd w:fill="auto" w:val="clear"/>
            <w:vAlign w:val="center"/>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Escape routes are all on the ground floor from reception and from classrooms, all on level access</w:t>
            </w:r>
            <w:r w:rsidDel="00000000" w:rsidR="00000000" w:rsidRPr="00000000">
              <w:rPr>
                <w:rtl w:val="0"/>
              </w:rPr>
            </w:r>
          </w:p>
        </w:tc>
        <w:tc>
          <w:tcPr>
            <w:vAlign w:val="center"/>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Ensure all evacuation routes are suitably communicated and associated protocols are in place, available and shared as required.</w:t>
            </w:r>
          </w:p>
        </w:tc>
        <w:tc>
          <w:tcPr>
            <w:vAlign w:val="center"/>
          </w:tcPr>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HT/ESCC Building Maintenance and Support Service</w:t>
            </w:r>
          </w:p>
        </w:tc>
        <w:tc>
          <w:tcPr>
            <w:vAlign w:val="center"/>
          </w:tcPr>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bookmarkStart w:colFirst="0" w:colLast="0" w:name="_heading=h.3dy6vkm" w:id="5"/>
            <w:bookmarkEnd w:id="5"/>
            <w:r w:rsidDel="00000000" w:rsidR="00000000" w:rsidRPr="00000000">
              <w:rPr>
                <w:rFonts w:ascii="Century Gothic" w:cs="Century Gothic" w:eastAsia="Century Gothic" w:hAnsi="Century Gothic"/>
                <w:color w:val="000000"/>
                <w:sz w:val="22"/>
                <w:szCs w:val="22"/>
                <w:rtl w:val="0"/>
              </w:rPr>
              <w:t xml:space="preserve">Sept 202</w:t>
            </w:r>
            <w:r w:rsidDel="00000000" w:rsidR="00000000" w:rsidRPr="00000000">
              <w:rPr>
                <w:rFonts w:ascii="Century Gothic" w:cs="Century Gothic" w:eastAsia="Century Gothic" w:hAnsi="Century Gothic"/>
                <w:sz w:val="22"/>
                <w:szCs w:val="22"/>
                <w:rtl w:val="0"/>
              </w:rPr>
              <w:t xml:space="preserve">5</w:t>
            </w:r>
            <w:r w:rsidDel="00000000" w:rsidR="00000000" w:rsidRPr="00000000">
              <w:rPr>
                <w:rtl w:val="0"/>
              </w:rPr>
            </w:r>
          </w:p>
        </w:tc>
      </w:tr>
    </w:tbl>
    <w:p w:rsidR="00000000" w:rsidDel="00000000" w:rsidP="00000000" w:rsidRDefault="00000000" w:rsidRPr="00000000" w14:paraId="00000103">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r w:rsidDel="00000000" w:rsidR="00000000" w:rsidRPr="00000000">
        <w:rPr>
          <w:rFonts w:ascii="Century Gothic" w:cs="Century Gothic" w:eastAsia="Century Gothic" w:hAnsi="Century Gothic"/>
          <w:b w:val="1"/>
          <w:bCs w:val="1"/>
          <w:color w:val="000000"/>
          <w:sz w:val="28"/>
          <w:szCs w:val="28"/>
          <w:rtl w:val="0"/>
        </w:rPr>
        <w:t xml:space="preserve">Appendix 2: Accessibility </w:t>
      </w:r>
      <w:sdt>
        <w:sdtPr>
          <w:id w:val="-1983497816"/>
          <w:tag w:val="goog_rdk_1"/>
        </w:sdtPr>
        <w:sdtContent>
          <w:commentRangeStart w:id="1"/>
        </w:sdtContent>
      </w:sdt>
      <w:r w:rsidDel="00000000" w:rsidR="00000000" w:rsidRPr="00000000">
        <w:rPr>
          <w:rFonts w:ascii="Century Gothic" w:cs="Century Gothic" w:eastAsia="Century Gothic" w:hAnsi="Century Gothic"/>
          <w:b w:val="1"/>
          <w:bCs w:val="1"/>
          <w:color w:val="000000"/>
          <w:sz w:val="28"/>
          <w:szCs w:val="28"/>
          <w:rtl w:val="0"/>
        </w:rPr>
        <w:t xml:space="preserve">audit</w:t>
      </w:r>
      <w:commentRangeEnd w:id="1"/>
      <w:r w:rsidDel="00000000" w:rsidR="00000000" w:rsidRPr="00000000">
        <w:commentReference w:id="1"/>
      </w:r>
      <w:r w:rsidDel="00000000" w:rsidR="00000000" w:rsidRPr="00000000">
        <w:rPr>
          <w:rFonts w:ascii="Century Gothic" w:cs="Century Gothic" w:eastAsia="Century Gothic" w:hAnsi="Century Gothic"/>
          <w:b w:val="1"/>
          <w:bCs w:val="1"/>
          <w:color w:val="000000"/>
          <w:sz w:val="28"/>
          <w:szCs w:val="28"/>
          <w:rtl w:val="0"/>
        </w:rPr>
        <w:t xml:space="preserve">: Monks Orchard site</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bl>
      <w:tblPr>
        <w:tblStyle w:val="Table4"/>
        <w:tblW w:w="14806.0" w:type="dxa"/>
        <w:jc w:val="left"/>
        <w:tblInd w:w="-459.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400"/>
      </w:tblPr>
      <w:tblGrid>
        <w:gridCol w:w="3526"/>
        <w:gridCol w:w="3003"/>
        <w:gridCol w:w="5105"/>
        <w:gridCol w:w="1586"/>
        <w:gridCol w:w="1586"/>
        <w:tblGridChange w:id="0">
          <w:tblGrid>
            <w:gridCol w:w="3526"/>
            <w:gridCol w:w="3003"/>
            <w:gridCol w:w="5105"/>
            <w:gridCol w:w="1586"/>
            <w:gridCol w:w="1586"/>
          </w:tblGrid>
        </w:tblGridChange>
      </w:tblGrid>
      <w:tr>
        <w:trPr>
          <w:cantSplit w:val="0"/>
          <w:trHeight w:val="38" w:hRule="atLeast"/>
          <w:tblHeader w:val="0"/>
        </w:trPr>
        <w:tc>
          <w:tcPr>
            <w:shd w:fill="bfbfbf" w:val="clear"/>
          </w:tcPr>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Feature</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tc>
        <w:tc>
          <w:tcPr>
            <w:shd w:fill="bfbfbf" w:val="clear"/>
          </w:tcPr>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Description</w:t>
            </w:r>
          </w:p>
        </w:tc>
        <w:tc>
          <w:tcPr>
            <w:shd w:fill="bfbfbf" w:val="clear"/>
          </w:tcPr>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Actions to be taken</w:t>
            </w:r>
          </w:p>
        </w:tc>
        <w:tc>
          <w:tcPr>
            <w:shd w:fill="bfbfbf" w:val="clear"/>
          </w:tcPr>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Person responsible</w:t>
            </w:r>
          </w:p>
        </w:tc>
        <w:tc>
          <w:tcPr>
            <w:shd w:fill="bfbfbf" w:val="clear"/>
          </w:tcPr>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Date to complete actions by</w:t>
            </w:r>
          </w:p>
        </w:tc>
      </w:tr>
      <w:tr>
        <w:trPr>
          <w:cantSplit w:val="0"/>
          <w:trHeight w:val="715" w:hRule="atLeast"/>
          <w:tblHeader w:val="0"/>
        </w:trPr>
        <w:tc>
          <w:tcPr>
            <w:shd w:fill="auto" w:val="clear"/>
          </w:tcPr>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General</w:t>
            </w:r>
            <w:r w:rsidDel="00000000" w:rsidR="00000000" w:rsidRPr="00000000">
              <w:rPr>
                <w:rtl w:val="0"/>
              </w:rPr>
            </w:r>
          </w:p>
        </w:tc>
        <w:tc>
          <w:tcPr>
            <w:shd w:fill="auto" w:val="clear"/>
          </w:tcPr>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Due to the age of the buildings on site the environment will require </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tc>
        <w:tc>
          <w:tcPr/>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Detailed site audit to be undertaken by Headteacher and Facilities Manager to prepare a plan</w:t>
            </w:r>
          </w:p>
        </w:tc>
        <w:tc>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Head Teacher</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Facilities Mgr</w:t>
            </w:r>
          </w:p>
        </w:tc>
        <w:tc>
          <w:tcPr/>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As required</w:t>
            </w:r>
          </w:p>
        </w:tc>
      </w:tr>
      <w:tr>
        <w:trPr>
          <w:cantSplit w:val="0"/>
          <w:trHeight w:val="715" w:hRule="atLeast"/>
          <w:tblHeader w:val="0"/>
        </w:trPr>
        <w:tc>
          <w:tcPr>
            <w:shd w:fill="auto" w:val="clear"/>
          </w:tcPr>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Number of storeys</w:t>
            </w:r>
          </w:p>
        </w:tc>
        <w:tc>
          <w:tcPr>
            <w:shd w:fill="auto" w:val="clear"/>
          </w:tcPr>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Two - No lift</w:t>
            </w:r>
            <w:r w:rsidDel="00000000" w:rsidR="00000000" w:rsidRPr="00000000">
              <w:rPr>
                <w:rtl w:val="0"/>
              </w:rPr>
            </w:r>
          </w:p>
        </w:tc>
        <w:tc>
          <w:tcPr/>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At present a lift is not available on site. First floor is not accessible to wheelchair users so alternative spaces and use of ground floor space will be adapted.</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Facilities Manager to work with Executive Team and Head of School </w:t>
            </w:r>
            <w:r w:rsidDel="00000000" w:rsidR="00000000" w:rsidRPr="00000000">
              <w:rPr>
                <w:rtl w:val="0"/>
              </w:rPr>
            </w:r>
          </w:p>
        </w:tc>
        <w:tc>
          <w:tcPr/>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Head Teacher</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Facilities Mgr</w:t>
            </w:r>
          </w:p>
        </w:tc>
        <w:tc>
          <w:tcPr/>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As required</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11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Corridor access</w:t>
            </w:r>
          </w:p>
        </w:tc>
        <w:tc>
          <w:tcPr>
            <w:shd w:fill="auto" w:val="clear"/>
          </w:tcPr>
          <w:p w:rsidR="00000000" w:rsidDel="00000000" w:rsidP="00000000" w:rsidRDefault="00000000" w:rsidRPr="00000000" w14:paraId="0000011A">
            <w:pP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Due to the age of the building some corridors are narrower than the required 32 inches so would not facilitate wheelchair use</w:t>
            </w:r>
            <w:r w:rsidDel="00000000" w:rsidR="00000000" w:rsidRPr="00000000">
              <w:rPr>
                <w:rtl w:val="0"/>
              </w:rPr>
            </w:r>
          </w:p>
        </w:tc>
        <w:tc>
          <w:tcPr/>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Route into the main building has been worked out for wheelchair users giving access to the gym, DDA toilet, food tech and teaching areas on the ground floor. </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Audit access to other key areas to be reviewed. </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SLT and caretaking team to ensure corridors and exits are kept clear at all times. Any issues to be reported to the Facilities Team asap.   </w:t>
            </w:r>
            <w:r w:rsidDel="00000000" w:rsidR="00000000" w:rsidRPr="00000000">
              <w:rPr>
                <w:rtl w:val="0"/>
              </w:rPr>
            </w:r>
          </w:p>
        </w:tc>
        <w:tc>
          <w:tcPr/>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Head Teacher</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Facilities Mgr</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 Caretaker</w:t>
            </w:r>
          </w:p>
        </w:tc>
        <w:tc>
          <w:tcPr/>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Ongoing</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Lifts</w:t>
            </w:r>
          </w:p>
        </w:tc>
        <w:tc>
          <w:tcPr>
            <w:shd w:fill="auto" w:val="clear"/>
          </w:tcPr>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N/A</w:t>
            </w:r>
            <w:r w:rsidDel="00000000" w:rsidR="00000000" w:rsidRPr="00000000">
              <w:rPr>
                <w:rtl w:val="0"/>
              </w:rPr>
            </w:r>
          </w:p>
        </w:tc>
        <w:tc>
          <w:tcPr/>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No lift on site</w:t>
            </w:r>
            <w:r w:rsidDel="00000000" w:rsidR="00000000" w:rsidRPr="00000000">
              <w:rPr>
                <w:rtl w:val="0"/>
              </w:rPr>
            </w:r>
          </w:p>
        </w:tc>
        <w:tc>
          <w:tcPr/>
          <w:p w:rsidR="00000000" w:rsidDel="00000000" w:rsidP="00000000" w:rsidRDefault="00000000" w:rsidRPr="00000000" w14:paraId="00000126">
            <w:pPr>
              <w:numPr>
                <w:ilvl w:val="0"/>
                <w:numId w:val="2"/>
              </w:numPr>
              <w:pBdr>
                <w:top w:space="0" w:sz="0" w:val="nil"/>
                <w:left w:space="0" w:sz="0" w:val="nil"/>
                <w:bottom w:space="0" w:sz="0" w:val="nil"/>
                <w:right w:space="0" w:sz="0" w:val="nil"/>
                <w:between w:space="0" w:sz="0" w:val="nil"/>
              </w:pBdr>
              <w:spacing w:after="120" w:before="120" w:lineRule="auto"/>
              <w:ind w:left="720" w:hanging="360"/>
              <w:rPr>
                <w:rFonts w:ascii="Century Gothic" w:cs="Century Gothic" w:eastAsia="Century Gothic" w:hAnsi="Century Gothic"/>
                <w:color w:val="000000"/>
                <w:sz w:val="22"/>
                <w:szCs w:val="22"/>
              </w:rPr>
            </w:pPr>
            <w:r w:rsidDel="00000000" w:rsidR="00000000" w:rsidRPr="00000000">
              <w:rPr>
                <w:rtl w:val="0"/>
              </w:rPr>
            </w:r>
          </w:p>
        </w:tc>
        <w:tc>
          <w:tcPr/>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Parking bays</w:t>
            </w:r>
          </w:p>
        </w:tc>
        <w:tc>
          <w:tcPr>
            <w:shd w:fill="auto" w:val="clear"/>
          </w:tcPr>
          <w:p w:rsidR="00000000" w:rsidDel="00000000" w:rsidP="00000000" w:rsidRDefault="00000000" w:rsidRPr="00000000" w14:paraId="0000012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1 disabled bay in car park. On street parking available directly in front of the school site</w:t>
            </w:r>
            <w:r w:rsidDel="00000000" w:rsidR="00000000" w:rsidRPr="00000000">
              <w:rPr>
                <w:rtl w:val="0"/>
              </w:rPr>
            </w:r>
          </w:p>
        </w:tc>
        <w:tc>
          <w:tcPr/>
          <w:p w:rsidR="00000000" w:rsidDel="00000000" w:rsidP="00000000" w:rsidRDefault="00000000" w:rsidRPr="00000000" w14:paraId="0000012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Ensure disabled bay is </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available in car park </w:t>
            </w:r>
          </w:p>
        </w:tc>
        <w:tc>
          <w:tcPr/>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School Caretaker</w:t>
            </w:r>
            <w:r w:rsidDel="00000000" w:rsidR="00000000" w:rsidRPr="00000000">
              <w:rPr>
                <w:rtl w:val="0"/>
              </w:rPr>
            </w:r>
          </w:p>
        </w:tc>
        <w:tc>
          <w:tcPr/>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Ongoing</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Entrances</w:t>
            </w:r>
          </w:p>
        </w:tc>
        <w:tc>
          <w:tcPr>
            <w:shd w:fill="auto" w:val="clear"/>
          </w:tcPr>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Two main pedestrian  entrances that are not wheelchair accessible due to width or the need of a ramp or subsequently narrow doorways and corridors to navigate. </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Gates manned by staff in the morning to support pupils, or via intercom during the day. </w:t>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Wheelchair access can also be via the double gate in the playground, the car park entrance, or main pedestrian gate</w:t>
            </w:r>
          </w:p>
        </w:tc>
        <w:tc>
          <w:tcPr/>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Caretaker &amp; SLT to ensure access routes are maintained. </w:t>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Communicate access arrangements that are required in advance</w:t>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Review all entrances to ensure DDA compliance and access, the need for ramps and other access support required</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Communicate access route for anyone with mobility issues</w:t>
            </w:r>
          </w:p>
        </w:tc>
        <w:tc>
          <w:tcPr/>
          <w:p w:rsidR="00000000" w:rsidDel="00000000" w:rsidP="00000000" w:rsidRDefault="00000000" w:rsidRPr="00000000" w14:paraId="0000013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Facilities Manager/ Caretaker</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Host/All Staff</w:t>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Facilities Mgr</w:t>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Facilities Mgr</w:t>
            </w:r>
          </w:p>
        </w:tc>
        <w:tc>
          <w:tcPr/>
          <w:p w:rsidR="00000000" w:rsidDel="00000000" w:rsidP="00000000" w:rsidRDefault="00000000" w:rsidRPr="00000000" w14:paraId="0000013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Ongoing</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13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Ramps</w:t>
            </w:r>
          </w:p>
        </w:tc>
        <w:tc>
          <w:tcPr>
            <w:shd w:fill="auto" w:val="clear"/>
          </w:tcPr>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None</w:t>
            </w:r>
            <w:r w:rsidDel="00000000" w:rsidR="00000000" w:rsidRPr="00000000">
              <w:rPr>
                <w:rtl w:val="0"/>
              </w:rPr>
            </w:r>
          </w:p>
        </w:tc>
        <w:tc>
          <w:tcPr/>
          <w:p w:rsidR="00000000" w:rsidDel="00000000" w:rsidP="00000000" w:rsidRDefault="00000000" w:rsidRPr="00000000" w14:paraId="0000014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No ramps currently on site. Facilities Manager to investigate and seek advice to enable purchase of ones appropriate  for the site. </w:t>
            </w:r>
            <w:r w:rsidDel="00000000" w:rsidR="00000000" w:rsidRPr="00000000">
              <w:rPr>
                <w:rtl w:val="0"/>
              </w:rPr>
            </w:r>
          </w:p>
        </w:tc>
        <w:tc>
          <w:tcPr/>
          <w:p w:rsidR="00000000" w:rsidDel="00000000" w:rsidP="00000000" w:rsidRDefault="00000000" w:rsidRPr="00000000" w14:paraId="0000014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Dee Fullerton</w:t>
            </w:r>
            <w:r w:rsidDel="00000000" w:rsidR="00000000" w:rsidRPr="00000000">
              <w:rPr>
                <w:rtl w:val="0"/>
              </w:rPr>
            </w:r>
          </w:p>
        </w:tc>
        <w:tc>
          <w:tcPr/>
          <w:p w:rsidR="00000000" w:rsidDel="00000000" w:rsidP="00000000" w:rsidRDefault="00000000" w:rsidRPr="00000000" w14:paraId="0000014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Sept 25</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14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Toilets</w:t>
            </w:r>
          </w:p>
        </w:tc>
        <w:tc>
          <w:tcPr>
            <w:shd w:fill="auto" w:val="clear"/>
          </w:tcPr>
          <w:p w:rsidR="00000000" w:rsidDel="00000000" w:rsidP="00000000" w:rsidRDefault="00000000" w:rsidRPr="00000000" w14:paraId="0000014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 DDA/Adult toilet with changing and shower facilities</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tc>
        <w:tc>
          <w:tcPr/>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Located on the ground floor near the gym. Accessible from the main footpath via the gym or side entrance from the Food Tech Courtyard.</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Yellow medical bin in place</w:t>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Ensure all toilets are clearly marked</w:t>
            </w:r>
          </w:p>
        </w:tc>
        <w:tc>
          <w:tcPr/>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Host</w:t>
            </w:r>
            <w:r w:rsidDel="00000000" w:rsidR="00000000" w:rsidRPr="00000000">
              <w:rPr>
                <w:rtl w:val="0"/>
              </w:rPr>
            </w:r>
          </w:p>
        </w:tc>
        <w:tc>
          <w:tcPr/>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Ongoing</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Reception area</w:t>
            </w:r>
          </w:p>
        </w:tc>
        <w:tc>
          <w:tcPr>
            <w:shd w:fill="auto" w:val="clear"/>
          </w:tcPr>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Small waiting area accessible via the  main pedestrian path</w:t>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Most external doors controlled by electronic fob</w:t>
            </w:r>
          </w:p>
        </w:tc>
        <w:tc>
          <w:tcPr/>
          <w:p w:rsidR="00000000" w:rsidDel="00000000" w:rsidP="00000000" w:rsidRDefault="00000000" w:rsidRPr="00000000" w14:paraId="0000014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Reception waiting area will not accommodate a wheelchair due to door width. Arrangements will need to be made in advance to accommodate wheelchairs arriving on site so that a safe and comfortable waiting area is available.</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Sign in screen installed at appropriate height for wheelchair users but not accessible by wheelchair users - alternative plan required ie ipad?.</w:t>
            </w:r>
          </w:p>
        </w:tc>
        <w:tc>
          <w:tcPr/>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Head Teacher</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Assistant Headteacher</w:t>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tc>
        <w:tc>
          <w:tcPr/>
          <w:p w:rsidR="00000000" w:rsidDel="00000000" w:rsidP="00000000" w:rsidRDefault="00000000" w:rsidRPr="00000000" w14:paraId="0000015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Sept 25</w:t>
            </w:r>
            <w:r w:rsidDel="00000000" w:rsidR="00000000" w:rsidRPr="00000000">
              <w:rPr>
                <w:rtl w:val="0"/>
              </w:rPr>
            </w:r>
          </w:p>
        </w:tc>
      </w:tr>
      <w:tr>
        <w:trPr>
          <w:cantSplit w:val="0"/>
          <w:trHeight w:val="715" w:hRule="atLeast"/>
          <w:tblHeader w:val="0"/>
        </w:trPr>
        <w:tc>
          <w:tcPr>
            <w:shd w:fill="auto" w:val="clear"/>
          </w:tcPr>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Internal signage</w:t>
            </w:r>
          </w:p>
        </w:tc>
        <w:tc>
          <w:tcPr>
            <w:shd w:fill="auto" w:val="clear"/>
          </w:tcPr>
          <w:p w:rsidR="00000000" w:rsidDel="00000000" w:rsidP="00000000" w:rsidRDefault="00000000" w:rsidRPr="00000000" w14:paraId="00000157">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Some signage in place</w:t>
            </w:r>
            <w:r w:rsidDel="00000000" w:rsidR="00000000" w:rsidRPr="00000000">
              <w:rPr>
                <w:rtl w:val="0"/>
              </w:rPr>
            </w:r>
          </w:p>
        </w:tc>
        <w:tc>
          <w:tcPr/>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Facilities Manager to audit the site to ensure appropriate signage is in place to cover a variety of additional needs. i.e. large print, pictorial or symbolic representations or audit, specialist recommended equipment according to the needs of pupils, staff and visitors. </w:t>
            </w:r>
            <w:r w:rsidDel="00000000" w:rsidR="00000000" w:rsidRPr="00000000">
              <w:rPr>
                <w:rtl w:val="0"/>
              </w:rPr>
            </w:r>
          </w:p>
        </w:tc>
        <w:tc>
          <w:tcPr/>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Facilities Manager  caretaker</w:t>
            </w:r>
            <w:r w:rsidDel="00000000" w:rsidR="00000000" w:rsidRPr="00000000">
              <w:rPr>
                <w:rtl w:val="0"/>
              </w:rPr>
            </w:r>
          </w:p>
        </w:tc>
        <w:tc>
          <w:tcPr/>
          <w:p w:rsidR="00000000" w:rsidDel="00000000" w:rsidP="00000000" w:rsidRDefault="00000000" w:rsidRPr="00000000" w14:paraId="0000015A">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Sept 25</w:t>
            </w:r>
            <w:r w:rsidDel="00000000" w:rsidR="00000000" w:rsidRPr="00000000">
              <w:rPr>
                <w:rtl w:val="0"/>
              </w:rPr>
            </w:r>
          </w:p>
        </w:tc>
      </w:tr>
      <w:tr>
        <w:trPr>
          <w:cantSplit w:val="0"/>
          <w:trHeight w:val="775" w:hRule="atLeast"/>
          <w:tblHeader w:val="0"/>
        </w:trPr>
        <w:tc>
          <w:tcPr>
            <w:shd w:fill="auto" w:val="clear"/>
          </w:tcPr>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Emergency escape routes</w:t>
            </w:r>
          </w:p>
        </w:tc>
        <w:tc>
          <w:tcPr>
            <w:shd w:fill="auto" w:val="clear"/>
          </w:tcPr>
          <w:p w:rsidR="00000000" w:rsidDel="00000000" w:rsidP="00000000" w:rsidRDefault="00000000" w:rsidRPr="00000000" w14:paraId="0000015C">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Many escape routes throughout the site in various locations </w:t>
            </w:r>
            <w:r w:rsidDel="00000000" w:rsidR="00000000" w:rsidRPr="00000000">
              <w:rPr>
                <w:rtl w:val="0"/>
              </w:rPr>
            </w:r>
          </w:p>
        </w:tc>
        <w:tc>
          <w:tcPr/>
          <w:p w:rsidR="00000000" w:rsidDel="00000000" w:rsidP="00000000" w:rsidRDefault="00000000" w:rsidRPr="00000000" w14:paraId="0000015D">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Escape routes checked daily by caretaker </w:t>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Personal Emergency Evacuation Plans (PEEP) prepared as required. Audit planned Sept 25 by Facilities Manager share</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All staff to be given induction including emergency exits and evacuation meeting point ad other protocols around emergencies</w:t>
            </w:r>
          </w:p>
        </w:tc>
        <w:tc>
          <w:tcPr/>
          <w:p w:rsidR="00000000" w:rsidDel="00000000" w:rsidP="00000000" w:rsidRDefault="00000000" w:rsidRPr="00000000" w14:paraId="00000160">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Headteacher</w:t>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sz w:val="22"/>
                <w:szCs w:val="22"/>
              </w:rPr>
            </w:pPr>
            <w:r w:rsidDel="00000000" w:rsidR="00000000" w:rsidRPr="00000000">
              <w:rPr>
                <w:rtl w:val="0"/>
              </w:rPr>
            </w:r>
          </w:p>
        </w:tc>
        <w:tc>
          <w:tcPr/>
          <w:p w:rsidR="00000000" w:rsidDel="00000000" w:rsidP="00000000" w:rsidRDefault="00000000" w:rsidRPr="00000000" w14:paraId="00000162">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sz w:val="22"/>
                <w:szCs w:val="22"/>
                <w:rtl w:val="0"/>
              </w:rPr>
              <w:t xml:space="preserve">As required</w:t>
            </w:r>
            <w:r w:rsidDel="00000000" w:rsidR="00000000" w:rsidRPr="00000000">
              <w:rPr>
                <w:rtl w:val="0"/>
              </w:rPr>
            </w:r>
          </w:p>
        </w:tc>
      </w:tr>
    </w:tbl>
    <w:p w:rsidR="00000000" w:rsidDel="00000000" w:rsidP="00000000" w:rsidRDefault="00000000" w:rsidRPr="00000000" w14:paraId="00000163">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167">
      <w:pPr>
        <w:keepNext w:val="1"/>
        <w:keepLines w:val="1"/>
        <w:pBdr>
          <w:top w:space="0" w:sz="0" w:val="nil"/>
          <w:left w:space="0" w:sz="0" w:val="nil"/>
          <w:bottom w:space="0" w:sz="0" w:val="nil"/>
          <w:right w:space="0" w:sz="0" w:val="nil"/>
          <w:between w:space="0" w:sz="0" w:val="nil"/>
        </w:pBdr>
        <w:spacing w:after="120" w:before="120" w:lineRule="auto"/>
        <w:rPr>
          <w:rFonts w:ascii="Century Gothic" w:cs="Century Gothic" w:eastAsia="Century Gothic" w:hAnsi="Century Gothic"/>
          <w:b w:val="1"/>
          <w:bCs w:val="1"/>
          <w:color w:val="000000"/>
          <w:sz w:val="28"/>
          <w:szCs w:val="28"/>
        </w:rPr>
      </w:pPr>
      <w:r w:rsidDel="00000000" w:rsidR="00000000" w:rsidRPr="00000000">
        <w:rPr>
          <w:rtl w:val="0"/>
        </w:rPr>
      </w:r>
    </w:p>
    <w:sectPr>
      <w:type w:val="nextPage"/>
      <w:pgSz w:h="11900" w:w="16840" w:orient="landscape"/>
      <w:pgMar w:bottom="1440" w:top="1440" w:left="1440" w:right="1440" w:header="720" w:footer="720"/>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Premier Advisory Group" w:id="0" w:date="2018-06-30T09:26:00Z">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table below contains some examples of features you might assess as part of an audit of the school’s physical environment. It is not an exhaustive list, and should be adapted to suit your own context.</w:t>
      </w:r>
    </w:p>
  </w:comment>
  <w:comment w:author="Premier Advisory Group" w:id="1" w:date="2018-06-30T09:26:00Z">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table below contains some examples of features you might assess as part of an audit of the school’s physical environment. It is not an exhaustive list, and should be adapted to suit your own context.</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6E" w15:done="0"/>
  <w15:commentEx w15:paraId="0000016F"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center" w:leader="none" w:pos="4513"/>
        <w:tab w:val="right" w:leader="none" w:pos="9026"/>
      </w:tabs>
      <w:jc w:val="center"/>
      <w:rPr>
        <w:smallCaps w:val="1"/>
        <w:color w:val="4472c4"/>
      </w:rPr>
    </w:pPr>
    <w:r w:rsidDel="00000000" w:rsidR="00000000" w:rsidRPr="00000000">
      <w:rPr>
        <w:smallCaps w:val="1"/>
        <w:color w:val="4472c4"/>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4762500</wp:posOffset>
          </wp:positionH>
          <wp:positionV relativeFrom="paragraph">
            <wp:posOffset>29171</wp:posOffset>
          </wp:positionV>
          <wp:extent cx="1895475" cy="1114425"/>
          <wp:effectExtent b="0" l="0" r="0" t="0"/>
          <wp:wrapSquare wrapText="bothSides" distB="114300" distT="114300" distL="114300" distR="114300"/>
          <wp:docPr id="13" name="image2.png"/>
          <a:graphic>
            <a:graphicData uri="http://schemas.openxmlformats.org/drawingml/2006/picture">
              <pic:pic>
                <pic:nvPicPr>
                  <pic:cNvPr id="0" name="image2.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center" w:leader="none" w:pos="4513"/>
        <w:tab w:val="right" w:leader="none" w:pos="9026"/>
      </w:tabs>
      <w:jc w:val="right"/>
      <w:rPr>
        <w:color w:val="767171"/>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center" w:leader="none" w:pos="4513"/>
        <w:tab w:val="right" w:leader="none" w:pos="9026"/>
      </w:tabs>
      <w:jc w:val="right"/>
      <w:rPr>
        <w:i w:val="1"/>
        <w:iCs w:val="1"/>
        <w:color w:val="767171"/>
        <w:sz w:val="18"/>
        <w:szCs w:val="18"/>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8039100</wp:posOffset>
          </wp:positionH>
          <wp:positionV relativeFrom="paragraph">
            <wp:posOffset>-152399</wp:posOffset>
          </wp:positionV>
          <wp:extent cx="1895475" cy="1114425"/>
          <wp:effectExtent b="0" l="0" r="0" t="0"/>
          <wp:wrapSquare wrapText="bothSides" distB="114300" distT="114300" distL="114300" distR="114300"/>
          <wp:docPr id="14" name="image2.png"/>
          <a:graphic>
            <a:graphicData uri="http://schemas.openxmlformats.org/drawingml/2006/picture">
              <pic:pic>
                <pic:nvPicPr>
                  <pic:cNvPr id="0" name="image2.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C">
    <w:pPr>
      <w:rPr/>
    </w:pPr>
    <w:r w:rsidDel="00000000" w:rsidR="00000000" w:rsidRPr="00000000">
      <w:rPr/>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0" distT="0" distL="0" distR="0"/>
          <wp:docPr id="12" name="image1.png"/>
          <a:graphic>
            <a:graphicData uri="http://schemas.openxmlformats.org/drawingml/2006/picture">
              <pic:pic>
                <pic:nvPicPr>
                  <pic:cNvPr id="0" name="image1.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PAG" w:customStyle="1">
    <w:name w:val="PAG"/>
    <w:basedOn w:val="Heading1"/>
    <w:qFormat w:val="1"/>
    <w:rsid w:val="00BE5599"/>
    <w:pPr>
      <w:spacing w:line="360" w:lineRule="auto"/>
      <w:jc w:val="both"/>
    </w:pPr>
    <w:rPr>
      <w:rFonts w:asciiTheme="minorHAnsi" w:hAnsiTheme="minorHAnsi"/>
      <w:b w:val="1"/>
      <w:color w:val="0070c0"/>
    </w:rPr>
  </w:style>
  <w:style w:type="character" w:styleId="Heading1Char" w:customStyle="1">
    <w:name w:val="Heading 1 Char"/>
    <w:basedOn w:val="DefaultParagraphFont"/>
    <w:link w:val="Heading1"/>
    <w:uiPriority w:val="9"/>
    <w:rsid w:val="00BE5599"/>
    <w:rPr>
      <w:rFonts w:asciiTheme="majorHAnsi" w:cstheme="majorBidi" w:eastAsiaTheme="majorEastAsia" w:hAnsiTheme="majorHAnsi"/>
      <w:color w:val="2f5496" w:themeColor="accent1" w:themeShade="0000BF"/>
      <w:sz w:val="32"/>
      <w:szCs w:val="32"/>
    </w:rPr>
  </w:style>
  <w:style w:type="paragraph" w:styleId="NormalWeb">
    <w:name w:val="Normal (Web)"/>
    <w:basedOn w:val="Normal"/>
    <w:uiPriority w:val="99"/>
    <w:semiHidden w:val="1"/>
    <w:unhideWhenUsed w:val="1"/>
    <w:rsid w:val="00F35CEE"/>
    <w:pPr>
      <w:spacing w:after="100" w:afterAutospacing="1" w:before="100" w:beforeAutospacing="1"/>
    </w:pPr>
    <w:rPr>
      <w:rFonts w:ascii="Times New Roman" w:cs="Times New Roman" w:eastAsia="Times New Roman" w:hAnsi="Times New Roman"/>
    </w:rPr>
  </w:style>
  <w:style w:type="table" w:styleId="TableGrid">
    <w:name w:val="Table Grid"/>
    <w:basedOn w:val="TableNormal"/>
    <w:uiPriority w:val="39"/>
    <w:rsid w:val="00F17D8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ETHeading" w:customStyle="1">
    <w:name w:val="MET Heading"/>
    <w:basedOn w:val="Normal"/>
    <w:next w:val="Normal"/>
    <w:qFormat w:val="1"/>
    <w:rsid w:val="00F17D89"/>
    <w:pPr>
      <w:jc w:val="center"/>
    </w:pPr>
    <w:rPr>
      <w:rFonts w:ascii="Arial" w:hAnsi="Arial"/>
      <w:b w:val="1"/>
      <w:sz w:val="32"/>
    </w:rPr>
  </w:style>
  <w:style w:type="paragraph" w:styleId="Header">
    <w:name w:val="header"/>
    <w:basedOn w:val="Normal"/>
    <w:link w:val="HeaderChar"/>
    <w:uiPriority w:val="99"/>
    <w:unhideWhenUsed w:val="1"/>
    <w:rsid w:val="00F17D89"/>
    <w:pPr>
      <w:tabs>
        <w:tab w:val="center" w:pos="4513"/>
        <w:tab w:val="right" w:pos="9026"/>
      </w:tabs>
    </w:pPr>
  </w:style>
  <w:style w:type="character" w:styleId="HeaderChar" w:customStyle="1">
    <w:name w:val="Header Char"/>
    <w:basedOn w:val="DefaultParagraphFont"/>
    <w:link w:val="Header"/>
    <w:uiPriority w:val="99"/>
    <w:rsid w:val="00F17D89"/>
  </w:style>
  <w:style w:type="paragraph" w:styleId="Footer">
    <w:name w:val="footer"/>
    <w:basedOn w:val="Normal"/>
    <w:link w:val="FooterChar"/>
    <w:uiPriority w:val="99"/>
    <w:unhideWhenUsed w:val="1"/>
    <w:rsid w:val="00F17D89"/>
    <w:pPr>
      <w:tabs>
        <w:tab w:val="center" w:pos="4513"/>
        <w:tab w:val="right" w:pos="9026"/>
      </w:tabs>
    </w:pPr>
  </w:style>
  <w:style w:type="character" w:styleId="FooterChar" w:customStyle="1">
    <w:name w:val="Footer Char"/>
    <w:basedOn w:val="DefaultParagraphFont"/>
    <w:link w:val="Footer"/>
    <w:uiPriority w:val="99"/>
    <w:rsid w:val="00F17D89"/>
  </w:style>
  <w:style w:type="paragraph" w:styleId="METSectionTitle" w:customStyle="1">
    <w:name w:val="MET Section Title"/>
    <w:basedOn w:val="Heading1"/>
    <w:qFormat w:val="1"/>
    <w:rsid w:val="00A40D37"/>
    <w:pPr>
      <w:spacing w:after="120" w:before="120"/>
    </w:pPr>
    <w:rPr>
      <w:rFonts w:ascii="Arial" w:hAnsi="Arial"/>
      <w:b w:val="1"/>
      <w:color w:val="000000" w:themeColor="text1"/>
      <w:sz w:val="28"/>
    </w:rPr>
  </w:style>
  <w:style w:type="paragraph" w:styleId="TOC1">
    <w:name w:val="toc 1"/>
    <w:aliases w:val="MET TOC"/>
    <w:basedOn w:val="Normal"/>
    <w:next w:val="Normal"/>
    <w:autoRedefine w:val="1"/>
    <w:uiPriority w:val="39"/>
    <w:unhideWhenUsed w:val="1"/>
    <w:qFormat w:val="1"/>
    <w:rsid w:val="00541376"/>
    <w:pPr>
      <w:spacing w:before="120"/>
    </w:pPr>
    <w:rPr>
      <w:b w:val="1"/>
      <w:bCs w:val="1"/>
      <w:i w:val="1"/>
      <w:iCs w:val="1"/>
    </w:rPr>
  </w:style>
  <w:style w:type="paragraph" w:styleId="TOC2">
    <w:name w:val="toc 2"/>
    <w:basedOn w:val="Normal"/>
    <w:next w:val="Normal"/>
    <w:autoRedefine w:val="1"/>
    <w:uiPriority w:val="39"/>
    <w:unhideWhenUsed w:val="1"/>
    <w:rsid w:val="00541376"/>
    <w:pPr>
      <w:spacing w:before="120"/>
      <w:ind w:left="240"/>
    </w:pPr>
    <w:rPr>
      <w:b w:val="1"/>
      <w:bCs w:val="1"/>
      <w:sz w:val="22"/>
      <w:szCs w:val="22"/>
    </w:rPr>
  </w:style>
  <w:style w:type="paragraph" w:styleId="TOC3">
    <w:name w:val="toc 3"/>
    <w:basedOn w:val="Normal"/>
    <w:next w:val="Normal"/>
    <w:autoRedefine w:val="1"/>
    <w:uiPriority w:val="39"/>
    <w:unhideWhenUsed w:val="1"/>
    <w:rsid w:val="00541376"/>
    <w:pPr>
      <w:ind w:left="480"/>
    </w:pPr>
    <w:rPr>
      <w:sz w:val="20"/>
      <w:szCs w:val="20"/>
    </w:rPr>
  </w:style>
  <w:style w:type="paragraph" w:styleId="TOC4">
    <w:name w:val="toc 4"/>
    <w:basedOn w:val="Normal"/>
    <w:next w:val="Normal"/>
    <w:autoRedefine w:val="1"/>
    <w:uiPriority w:val="39"/>
    <w:unhideWhenUsed w:val="1"/>
    <w:rsid w:val="00541376"/>
    <w:pPr>
      <w:ind w:left="720"/>
    </w:pPr>
    <w:rPr>
      <w:sz w:val="20"/>
      <w:szCs w:val="20"/>
    </w:rPr>
  </w:style>
  <w:style w:type="paragraph" w:styleId="TOC5">
    <w:name w:val="toc 5"/>
    <w:basedOn w:val="Normal"/>
    <w:next w:val="Normal"/>
    <w:autoRedefine w:val="1"/>
    <w:uiPriority w:val="39"/>
    <w:unhideWhenUsed w:val="1"/>
    <w:rsid w:val="00541376"/>
    <w:pPr>
      <w:ind w:left="960"/>
    </w:pPr>
    <w:rPr>
      <w:sz w:val="20"/>
      <w:szCs w:val="20"/>
    </w:rPr>
  </w:style>
  <w:style w:type="paragraph" w:styleId="TOC6">
    <w:name w:val="toc 6"/>
    <w:basedOn w:val="Normal"/>
    <w:next w:val="Normal"/>
    <w:autoRedefine w:val="1"/>
    <w:uiPriority w:val="39"/>
    <w:unhideWhenUsed w:val="1"/>
    <w:rsid w:val="00541376"/>
    <w:pPr>
      <w:ind w:left="1200"/>
    </w:pPr>
    <w:rPr>
      <w:sz w:val="20"/>
      <w:szCs w:val="20"/>
    </w:rPr>
  </w:style>
  <w:style w:type="paragraph" w:styleId="TOC7">
    <w:name w:val="toc 7"/>
    <w:basedOn w:val="Normal"/>
    <w:next w:val="Normal"/>
    <w:autoRedefine w:val="1"/>
    <w:uiPriority w:val="39"/>
    <w:unhideWhenUsed w:val="1"/>
    <w:rsid w:val="00541376"/>
    <w:pPr>
      <w:ind w:left="1440"/>
    </w:pPr>
    <w:rPr>
      <w:sz w:val="20"/>
      <w:szCs w:val="20"/>
    </w:rPr>
  </w:style>
  <w:style w:type="paragraph" w:styleId="TOC8">
    <w:name w:val="toc 8"/>
    <w:basedOn w:val="Normal"/>
    <w:next w:val="Normal"/>
    <w:autoRedefine w:val="1"/>
    <w:uiPriority w:val="39"/>
    <w:unhideWhenUsed w:val="1"/>
    <w:rsid w:val="00541376"/>
    <w:pPr>
      <w:ind w:left="1680"/>
    </w:pPr>
    <w:rPr>
      <w:sz w:val="20"/>
      <w:szCs w:val="20"/>
    </w:rPr>
  </w:style>
  <w:style w:type="paragraph" w:styleId="TOC9">
    <w:name w:val="toc 9"/>
    <w:basedOn w:val="Normal"/>
    <w:next w:val="Normal"/>
    <w:autoRedefine w:val="1"/>
    <w:uiPriority w:val="39"/>
    <w:unhideWhenUsed w:val="1"/>
    <w:rsid w:val="00541376"/>
    <w:pPr>
      <w:ind w:left="1920"/>
    </w:pPr>
    <w:rPr>
      <w:sz w:val="20"/>
      <w:szCs w:val="20"/>
    </w:rPr>
  </w:style>
  <w:style w:type="paragraph" w:styleId="TOCHeading">
    <w:name w:val="TOC Heading"/>
    <w:basedOn w:val="Heading1"/>
    <w:next w:val="Normal"/>
    <w:uiPriority w:val="39"/>
    <w:unhideWhenUsed w:val="1"/>
    <w:qFormat w:val="1"/>
    <w:rsid w:val="00541376"/>
    <w:pPr>
      <w:spacing w:before="480" w:line="276" w:lineRule="auto"/>
      <w:outlineLvl w:val="9"/>
    </w:pPr>
    <w:rPr>
      <w:b w:val="1"/>
      <w:bCs w:val="1"/>
      <w:sz w:val="28"/>
      <w:szCs w:val="28"/>
      <w:lang w:val="en-US"/>
    </w:rPr>
  </w:style>
  <w:style w:type="character" w:styleId="Hyperlink">
    <w:name w:val="Hyperlink"/>
    <w:basedOn w:val="DefaultParagraphFont"/>
    <w:uiPriority w:val="99"/>
    <w:unhideWhenUsed w:val="1"/>
    <w:rsid w:val="00541376"/>
    <w:rPr>
      <w:color w:val="0563c1" w:themeColor="hyperlink"/>
      <w:u w:val="single"/>
    </w:rPr>
  </w:style>
  <w:style w:type="paragraph" w:styleId="METSUBSUBHeading" w:customStyle="1">
    <w:name w:val="MET SUBSUB Heading"/>
    <w:basedOn w:val="Normal"/>
    <w:autoRedefine w:val="1"/>
    <w:qFormat w:val="1"/>
    <w:rsid w:val="000A1DB7"/>
    <w:rPr>
      <w:rFonts w:ascii="Arial" w:hAnsi="Arial"/>
      <w:b w:val="1"/>
      <w:sz w:val="22"/>
    </w:rPr>
  </w:style>
  <w:style w:type="paragraph" w:styleId="METTEXT" w:customStyle="1">
    <w:name w:val="MET TEXT"/>
    <w:basedOn w:val="Normal"/>
    <w:qFormat w:val="1"/>
    <w:rsid w:val="004C3606"/>
    <w:pPr>
      <w:spacing w:after="120" w:before="120"/>
    </w:pPr>
    <w:rPr>
      <w:rFonts w:ascii="Arial" w:hAnsi="Arial"/>
      <w:sz w:val="22"/>
    </w:rPr>
  </w:style>
  <w:style w:type="paragraph" w:styleId="ListParagraph">
    <w:name w:val="List Paragraph"/>
    <w:basedOn w:val="Normal"/>
    <w:uiPriority w:val="34"/>
    <w:qFormat w:val="1"/>
    <w:rsid w:val="007B3D3D"/>
    <w:pPr>
      <w:ind w:left="720"/>
      <w:contextualSpacing w:val="1"/>
    </w:pPr>
  </w:style>
  <w:style w:type="paragraph" w:styleId="METBulletList" w:customStyle="1">
    <w:name w:val="MET Bullet List"/>
    <w:basedOn w:val="ListParagraph"/>
    <w:qFormat w:val="1"/>
    <w:rsid w:val="004C3606"/>
    <w:pPr>
      <w:numPr>
        <w:numId w:val="1"/>
      </w:numPr>
    </w:pPr>
    <w:rPr>
      <w:rFonts w:ascii="Arial" w:hAnsi="Arial"/>
      <w:sz w:val="22"/>
    </w:rPr>
  </w:style>
  <w:style w:type="paragraph" w:styleId="METFooter" w:customStyle="1">
    <w:name w:val="MET Footer"/>
    <w:basedOn w:val="Footer"/>
    <w:autoRedefine w:val="1"/>
    <w:qFormat w:val="1"/>
    <w:rsid w:val="00EB00B8"/>
    <w:pPr>
      <w:jc w:val="right"/>
    </w:pPr>
    <w:rPr>
      <w:color w:val="767171" w:themeColor="background2" w:themeShade="000080"/>
      <w:sz w:val="20"/>
      <w:szCs w:val="20"/>
    </w:rPr>
  </w:style>
  <w:style w:type="paragraph" w:styleId="METFooterURL" w:customStyle="1">
    <w:name w:val="MET Footer URL"/>
    <w:basedOn w:val="Footer"/>
    <w:qFormat w:val="1"/>
    <w:rsid w:val="00EB00B8"/>
    <w:pPr>
      <w:jc w:val="right"/>
    </w:pPr>
    <w:rPr>
      <w:color w:val="0070c0"/>
      <w:sz w:val="20"/>
      <w:szCs w:val="20"/>
    </w:rPr>
  </w:style>
  <w:style w:type="paragraph" w:styleId="ContentsList" w:customStyle="1">
    <w:name w:val="Contents List"/>
    <w:basedOn w:val="TOC1"/>
    <w:qFormat w:val="1"/>
    <w:rsid w:val="00A40D37"/>
    <w:pPr>
      <w:tabs>
        <w:tab w:val="right" w:leader="dot" w:pos="9010"/>
      </w:tabs>
    </w:pPr>
    <w:rPr>
      <w:b w:val="0"/>
      <w:bCs w:val="0"/>
      <w:i w:val="0"/>
      <w:color w:val="000000" w:themeColor="text1"/>
    </w:rPr>
  </w:style>
  <w:style w:type="paragraph" w:styleId="SubMETSUBSUBSUBHeading" w:customStyle="1">
    <w:name w:val="Sub MET SUBSUBSUB Heading"/>
    <w:basedOn w:val="METSUBSUBHeading"/>
    <w:qFormat w:val="1"/>
    <w:rsid w:val="000A1DB7"/>
    <w:pPr>
      <w:ind w:left="720"/>
    </w:pPr>
  </w:style>
  <w:style w:type="paragraph" w:styleId="BalloonText">
    <w:name w:val="Balloon Text"/>
    <w:basedOn w:val="Normal"/>
    <w:link w:val="BalloonTextChar"/>
    <w:uiPriority w:val="99"/>
    <w:semiHidden w:val="1"/>
    <w:unhideWhenUsed w:val="1"/>
    <w:rsid w:val="00E926C1"/>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E926C1"/>
    <w:rPr>
      <w:rFonts w:ascii="Times New Roman" w:cs="Times New Roman" w:hAnsi="Times New Roman"/>
      <w:sz w:val="18"/>
      <w:szCs w:val="18"/>
    </w:rPr>
  </w:style>
  <w:style w:type="paragraph" w:styleId="SubSubheadingTextStyle" w:customStyle="1">
    <w:name w:val="SubSubheading Text Style"/>
    <w:basedOn w:val="METTEXT"/>
    <w:qFormat w:val="1"/>
    <w:rsid w:val="004C3606"/>
    <w:pPr>
      <w:ind w:left="720"/>
    </w:pPr>
  </w:style>
  <w:style w:type="paragraph" w:styleId="SubSubHeadingBulletStyle" w:customStyle="1">
    <w:name w:val="SubSubHeading Bullet Style"/>
    <w:basedOn w:val="METBulletList"/>
    <w:qFormat w:val="1"/>
    <w:rsid w:val="004C3606"/>
    <w:pPr>
      <w:numPr>
        <w:numId w:val="2"/>
      </w:numPr>
    </w:pPr>
  </w:style>
  <w:style w:type="paragraph" w:styleId="HeaderStyle" w:customStyle="1">
    <w:name w:val="Header Style"/>
    <w:basedOn w:val="Header"/>
    <w:qFormat w:val="1"/>
    <w:rsid w:val="004C3606"/>
    <w:rPr>
      <w:rFonts w:ascii="Arial" w:hAnsi="Arial"/>
      <w:color w:val="767171" w:themeColor="background2" w:themeShade="000080"/>
      <w:sz w:val="18"/>
      <w:szCs w:val="18"/>
    </w:rPr>
  </w:style>
  <w:style w:type="character" w:styleId="CommentReference">
    <w:name w:val="annotation reference"/>
    <w:basedOn w:val="DefaultParagraphFont"/>
    <w:uiPriority w:val="99"/>
    <w:semiHidden w:val="1"/>
    <w:unhideWhenUsed w:val="1"/>
    <w:rsid w:val="0071686E"/>
    <w:rPr>
      <w:sz w:val="16"/>
      <w:szCs w:val="16"/>
    </w:rPr>
  </w:style>
  <w:style w:type="paragraph" w:styleId="CommentText">
    <w:name w:val="annotation text"/>
    <w:basedOn w:val="Normal"/>
    <w:link w:val="CommentTextChar"/>
    <w:uiPriority w:val="99"/>
    <w:semiHidden w:val="1"/>
    <w:unhideWhenUsed w:val="1"/>
    <w:rsid w:val="0071686E"/>
    <w:rPr>
      <w:sz w:val="20"/>
      <w:szCs w:val="20"/>
    </w:rPr>
  </w:style>
  <w:style w:type="character" w:styleId="CommentTextChar" w:customStyle="1">
    <w:name w:val="Comment Text Char"/>
    <w:basedOn w:val="DefaultParagraphFont"/>
    <w:link w:val="CommentText"/>
    <w:uiPriority w:val="99"/>
    <w:semiHidden w:val="1"/>
    <w:rsid w:val="0071686E"/>
    <w:rPr>
      <w:sz w:val="20"/>
      <w:szCs w:val="20"/>
    </w:rPr>
  </w:style>
  <w:style w:type="paragraph" w:styleId="CommentSubject">
    <w:name w:val="annotation subject"/>
    <w:basedOn w:val="CommentText"/>
    <w:next w:val="CommentText"/>
    <w:link w:val="CommentSubjectChar"/>
    <w:uiPriority w:val="99"/>
    <w:semiHidden w:val="1"/>
    <w:unhideWhenUsed w:val="1"/>
    <w:rsid w:val="0071686E"/>
    <w:rPr>
      <w:b w:val="1"/>
      <w:bCs w:val="1"/>
    </w:rPr>
  </w:style>
  <w:style w:type="character" w:styleId="CommentSubjectChar" w:customStyle="1">
    <w:name w:val="Comment Subject Char"/>
    <w:basedOn w:val="CommentTextChar"/>
    <w:link w:val="CommentSubject"/>
    <w:uiPriority w:val="99"/>
    <w:semiHidden w:val="1"/>
    <w:rsid w:val="0071686E"/>
    <w:rPr>
      <w:b w:val="1"/>
      <w:bCs w:val="1"/>
      <w:sz w:val="20"/>
      <w:szCs w:val="20"/>
    </w:rPr>
  </w:style>
  <w:style w:type="paragraph" w:styleId="METNumbers" w:customStyle="1">
    <w:name w:val="MET Numbers"/>
    <w:basedOn w:val="METTEXT"/>
    <w:qFormat w:val="1"/>
    <w:rsid w:val="00B423B6"/>
    <w:pPr>
      <w:tabs>
        <w:tab w:val="num" w:pos="720"/>
      </w:tabs>
      <w:ind w:left="720" w:hanging="720"/>
    </w:pPr>
  </w:style>
  <w:style w:type="paragraph" w:styleId="METLetters" w:customStyle="1">
    <w:name w:val="MET Letters"/>
    <w:basedOn w:val="METTEXT"/>
    <w:qFormat w:val="1"/>
    <w:rsid w:val="00B423B6"/>
    <w:pPr>
      <w:tabs>
        <w:tab w:val="num" w:pos="720"/>
      </w:tabs>
      <w:ind w:left="720" w:hanging="720"/>
    </w:pPr>
  </w:style>
  <w:style w:type="paragraph" w:styleId="Caption1" w:customStyle="1">
    <w:name w:val="Caption 1"/>
    <w:basedOn w:val="Normal"/>
    <w:qFormat w:val="1"/>
    <w:rsid w:val="00D112A8"/>
    <w:pPr>
      <w:spacing w:after="120" w:before="120"/>
    </w:pPr>
    <w:rPr>
      <w:rFonts w:ascii="Arial" w:cs="Times New Roman" w:eastAsia="MS Mincho" w:hAnsi="Arial"/>
      <w:i w:val="1"/>
      <w:color w:val="f15f22"/>
      <w:sz w:val="20"/>
      <w:lang w:val="en-US"/>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CellMar>
        <w:top w:w="113.0" w:type="dxa"/>
        <w:left w:w="115.0" w:type="dxa"/>
        <w:bottom w:w="113.0" w:type="dxa"/>
        <w:right w:w="115.0" w:type="dxa"/>
      </w:tblCellMar>
    </w:tblPr>
  </w:style>
  <w:style w:type="table" w:styleId="a1" w:customStyle="1">
    <w:basedOn w:val="TableNormal"/>
    <w:tblPr>
      <w:tblStyleRowBandSize w:val="1"/>
      <w:tblStyleColBandSize w:val="1"/>
      <w:tblCellMar>
        <w:top w:w="113.0" w:type="dxa"/>
        <w:left w:w="115.0" w:type="dxa"/>
        <w:bottom w:w="113.0" w:type="dxa"/>
        <w:right w:w="115.0" w:type="dxa"/>
      </w:tblCellMar>
    </w:tblPr>
  </w:style>
  <w:style w:type="table" w:styleId="Table1">
    <w:basedOn w:val="TableNormal"/>
    <w:tblPr>
      <w:tblStyleRowBandSize w:val="1"/>
      <w:tblStyleColBandSize w:val="1"/>
      <w:tblCellMar>
        <w:top w:w="113.0" w:type="dxa"/>
        <w:left w:w="115.0" w:type="dxa"/>
        <w:bottom w:w="113.0" w:type="dxa"/>
        <w:right w:w="115.0" w:type="dxa"/>
      </w:tblCellMar>
    </w:tblPr>
  </w:style>
  <w:style w:type="table" w:styleId="Table2">
    <w:basedOn w:val="TableNormal"/>
    <w:tblPr>
      <w:tblStyleRowBandSize w:val="1"/>
      <w:tblStyleColBandSize w:val="1"/>
      <w:tblCellMar>
        <w:top w:w="113.0" w:type="dxa"/>
        <w:left w:w="115.0" w:type="dxa"/>
        <w:bottom w:w="113.0" w:type="dxa"/>
        <w:right w:w="115.0" w:type="dxa"/>
      </w:tblCellMar>
    </w:tblPr>
  </w:style>
  <w:style w:type="table" w:styleId="Table3">
    <w:basedOn w:val="TableNormal"/>
    <w:tblPr>
      <w:tblStyleRowBandSize w:val="1"/>
      <w:tblStyleColBandSize w:val="1"/>
      <w:tblCellMar>
        <w:top w:w="113.0" w:type="dxa"/>
        <w:left w:w="115.0" w:type="dxa"/>
        <w:bottom w:w="113.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13.0" w:type="dxa"/>
        <w:left w:w="115.0" w:type="dxa"/>
        <w:bottom w:w="113.0" w:type="dxa"/>
        <w:right w:w="115.0" w:type="dxa"/>
      </w:tblCellMar>
    </w:tblPr>
  </w:style>
  <w:style w:type="table" w:styleId="Table2">
    <w:basedOn w:val="TableNormal"/>
    <w:tblPr>
      <w:tblStyleRowBandSize w:val="1"/>
      <w:tblStyleColBandSize w:val="1"/>
      <w:tblCellMar>
        <w:top w:w="113.0" w:type="dxa"/>
        <w:left w:w="115.0" w:type="dxa"/>
        <w:bottom w:w="113.0" w:type="dxa"/>
        <w:right w:w="115.0" w:type="dxa"/>
      </w:tblCellMar>
    </w:tblPr>
  </w:style>
  <w:style w:type="table" w:styleId="Table3">
    <w:basedOn w:val="TableNormal"/>
    <w:tblPr>
      <w:tblStyleRowBandSize w:val="1"/>
      <w:tblStyleColBandSize w:val="1"/>
      <w:tblCellMar>
        <w:top w:w="113.0" w:type="dxa"/>
        <w:left w:w="115.0" w:type="dxa"/>
        <w:bottom w:w="113.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4.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footer" Target="footer3.xml"/><Relationship Id="rId16" Type="http://schemas.openxmlformats.org/officeDocument/2006/relationships/hyperlink" Target="https://www.sheffield.gov.uk/content/dam/sheffield/docs/schools-and-childcare/school-and-education-information/Owler%20Brook%20Communication%20Friendly%20Schools%20Audit.pdf"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QcJLKxcSvDoIMg6XDAcwaWwfgw==">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2023-09-25T15:13:00Z</dcterms:created>
  <dc:creator>Ellie Wright</dc:creator>
</cp:coreProperties>
</file>